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A1D2" w14:textId="096BA3E5" w:rsidR="002F1C99" w:rsidRDefault="002F1C99">
      <w:pPr>
        <w:spacing w:after="0" w:line="240" w:lineRule="auto"/>
        <w:rPr>
          <w:rFonts w:ascii="Times New Roman" w:hAnsi="Times New Roman"/>
          <w:b/>
          <w:bCs/>
          <w:sz w:val="24"/>
          <w:szCs w:val="24"/>
        </w:rPr>
      </w:pPr>
    </w:p>
    <w:p w14:paraId="5157F6B5" w14:textId="53C83EA2" w:rsidR="004B4ED8" w:rsidRPr="00F606B8" w:rsidRDefault="004B4ED8" w:rsidP="004B4ED8">
      <w:pPr>
        <w:spacing w:line="240" w:lineRule="auto"/>
        <w:contextualSpacing/>
        <w:jc w:val="center"/>
        <w:rPr>
          <w:rFonts w:ascii="Times New Roman" w:hAnsi="Times New Roman"/>
          <w:b/>
          <w:bCs/>
          <w:sz w:val="24"/>
          <w:szCs w:val="24"/>
        </w:rPr>
      </w:pPr>
      <w:r w:rsidRPr="00F606B8">
        <w:rPr>
          <w:rFonts w:ascii="Times New Roman" w:hAnsi="Times New Roman"/>
          <w:b/>
          <w:bCs/>
          <w:sz w:val="24"/>
          <w:szCs w:val="24"/>
        </w:rPr>
        <w:t xml:space="preserve">UPAYA INDONESIA DALAM MENINGKATKAN KUALITAS </w:t>
      </w:r>
      <w:r w:rsidRPr="00F606B8">
        <w:rPr>
          <w:rFonts w:ascii="Times New Roman" w:hAnsi="Times New Roman"/>
          <w:b/>
          <w:bCs/>
          <w:sz w:val="24"/>
          <w:szCs w:val="24"/>
        </w:rPr>
        <w:br/>
        <w:t xml:space="preserve">PENDIDIKAN UNTUK MENCAPAI TARGET SDGs </w:t>
      </w:r>
    </w:p>
    <w:p w14:paraId="75511E71" w14:textId="77777777" w:rsidR="00C712C2" w:rsidRPr="008815EB" w:rsidRDefault="00C712C2" w:rsidP="004B4ED8">
      <w:pPr>
        <w:pStyle w:val="FootnoteText"/>
        <w:rPr>
          <w:b/>
          <w:bCs/>
          <w:sz w:val="22"/>
          <w:szCs w:val="22"/>
          <w:lang w:val="id-ID"/>
        </w:rPr>
      </w:pPr>
    </w:p>
    <w:p w14:paraId="260C3ED2" w14:textId="2E4B1BBD" w:rsidR="006F7D90" w:rsidRDefault="004B4ED8" w:rsidP="006F7D90">
      <w:pPr>
        <w:spacing w:line="240" w:lineRule="auto"/>
        <w:contextualSpacing/>
        <w:jc w:val="center"/>
        <w:rPr>
          <w:rFonts w:ascii="Times New Roman" w:hAnsi="Times New Roman"/>
          <w:sz w:val="24"/>
          <w:szCs w:val="24"/>
        </w:rPr>
      </w:pPr>
      <w:r>
        <w:rPr>
          <w:rFonts w:ascii="Times New Roman" w:hAnsi="Times New Roman"/>
          <w:b/>
          <w:bCs/>
          <w:sz w:val="24"/>
          <w:szCs w:val="24"/>
        </w:rPr>
        <w:t>Maulana Malik Ibrahim</w:t>
      </w:r>
      <w:r w:rsidR="006F7D90">
        <w:rPr>
          <w:rStyle w:val="FootnoteReference"/>
          <w:rFonts w:ascii="Times New Roman" w:hAnsi="Times New Roman"/>
          <w:sz w:val="24"/>
          <w:szCs w:val="24"/>
        </w:rPr>
        <w:footnoteReference w:id="1"/>
      </w:r>
    </w:p>
    <w:p w14:paraId="38F3E496" w14:textId="0CA09DB8" w:rsidR="006F7D90" w:rsidRPr="00645E07" w:rsidRDefault="006F7D90" w:rsidP="00A0131B">
      <w:pPr>
        <w:spacing w:line="240" w:lineRule="auto"/>
        <w:contextualSpacing/>
        <w:rPr>
          <w:rFonts w:ascii="Times New Roman" w:hAnsi="Times New Roman"/>
          <w:b/>
          <w:bCs/>
          <w:i/>
          <w:iCs/>
          <w:sz w:val="24"/>
          <w:szCs w:val="24"/>
        </w:rPr>
      </w:pPr>
    </w:p>
    <w:p w14:paraId="14C69E42" w14:textId="3CB39A26" w:rsidR="006F7D90" w:rsidRDefault="00A0131B" w:rsidP="004B4ED8">
      <w:pPr>
        <w:spacing w:line="240" w:lineRule="auto"/>
        <w:ind w:left="851" w:right="850"/>
        <w:contextualSpacing/>
        <w:jc w:val="both"/>
        <w:rPr>
          <w:rFonts w:ascii="Times New Roman" w:hAnsi="Times New Roman"/>
          <w:i/>
          <w:iCs/>
          <w:sz w:val="20"/>
          <w:szCs w:val="20"/>
        </w:rPr>
      </w:pPr>
      <w:r w:rsidRPr="00A0131B">
        <w:rPr>
          <w:rFonts w:ascii="Times New Roman" w:hAnsi="Times New Roman"/>
          <w:b/>
          <w:bCs/>
          <w:i/>
          <w:iCs/>
          <w:sz w:val="20"/>
          <w:szCs w:val="20"/>
          <w:lang w:val="en-US"/>
        </w:rPr>
        <w:t>Abstact</w:t>
      </w:r>
      <w:r>
        <w:rPr>
          <w:rFonts w:ascii="Times New Roman" w:hAnsi="Times New Roman"/>
          <w:i/>
          <w:iCs/>
          <w:sz w:val="20"/>
          <w:szCs w:val="20"/>
          <w:lang w:val="en-US"/>
        </w:rPr>
        <w:t xml:space="preserve">: </w:t>
      </w:r>
      <w:r w:rsidR="004B4ED8" w:rsidRPr="00F606B8">
        <w:rPr>
          <w:rFonts w:ascii="Times New Roman" w:hAnsi="Times New Roman"/>
          <w:i/>
          <w:iCs/>
          <w:sz w:val="20"/>
          <w:szCs w:val="20"/>
        </w:rPr>
        <w:t>This study aims to provide an analysis and discussion of the efforts made by the Indonesian government in improving education according to the target of the Sustainable Development Goals. To analyze the problems in this research, the author uses a descriptive type of research, namely by describing the efforts made by Indonesia to achieve the target of the 4th SDGs. The analytical technique used is qualitative. The theory/concept used is the concept of public policy and the concept of education quality.</w:t>
      </w:r>
      <w:r w:rsidR="00C654EF">
        <w:t xml:space="preserve"> </w:t>
      </w:r>
      <w:r w:rsidR="00C654EF" w:rsidRPr="00C654EF">
        <w:rPr>
          <w:rFonts w:ascii="Times New Roman" w:hAnsi="Times New Roman"/>
          <w:i/>
          <w:iCs/>
          <w:sz w:val="20"/>
          <w:szCs w:val="20"/>
        </w:rPr>
        <w:t>The results of this study indicate that there are four program efforts carried out by the government as an effort to improve the quality of education according to the SDGs targets in the education sector in Indonesia, including policy efforts in the field of law, policy efforts to improve access to education, policy efforts for teaching and learning quality, and skills, vocational, and work ability policy efforts</w:t>
      </w:r>
      <w:r w:rsidR="004B4ED8" w:rsidRPr="00F606B8">
        <w:rPr>
          <w:rFonts w:ascii="Times New Roman" w:hAnsi="Times New Roman"/>
          <w:i/>
          <w:iCs/>
          <w:sz w:val="20"/>
          <w:szCs w:val="20"/>
        </w:rPr>
        <w:t>.</w:t>
      </w:r>
    </w:p>
    <w:p w14:paraId="66BD556D" w14:textId="77777777" w:rsidR="004B4ED8" w:rsidRPr="00645E07" w:rsidRDefault="004B4ED8" w:rsidP="004B4ED8">
      <w:pPr>
        <w:spacing w:line="240" w:lineRule="auto"/>
        <w:ind w:left="851" w:right="850"/>
        <w:contextualSpacing/>
        <w:jc w:val="both"/>
        <w:rPr>
          <w:rFonts w:ascii="Times New Roman" w:hAnsi="Times New Roman"/>
          <w:i/>
          <w:iCs/>
          <w:sz w:val="20"/>
          <w:szCs w:val="20"/>
        </w:rPr>
      </w:pPr>
    </w:p>
    <w:p w14:paraId="410948AC" w14:textId="215A2239" w:rsidR="00C712C2" w:rsidRPr="008815EB" w:rsidRDefault="006F7D90" w:rsidP="006F7D90">
      <w:pPr>
        <w:spacing w:after="0" w:line="240" w:lineRule="auto"/>
        <w:ind w:left="851" w:right="849"/>
        <w:jc w:val="both"/>
        <w:rPr>
          <w:rFonts w:ascii="Times New Roman" w:eastAsia="Calibri" w:hAnsi="Times New Roman"/>
          <w:b/>
          <w:bCs/>
          <w:i/>
          <w:sz w:val="20"/>
          <w:szCs w:val="20"/>
          <w:lang w:val="en-US"/>
        </w:rPr>
      </w:pPr>
      <w:r w:rsidRPr="00645E07">
        <w:rPr>
          <w:rFonts w:ascii="Times New Roman" w:hAnsi="Times New Roman"/>
          <w:b/>
          <w:bCs/>
          <w:i/>
          <w:iCs/>
          <w:sz w:val="20"/>
          <w:szCs w:val="20"/>
        </w:rPr>
        <w:t xml:space="preserve">Keywords: </w:t>
      </w:r>
      <w:r w:rsidR="00115E60" w:rsidRPr="00115E60">
        <w:rPr>
          <w:rFonts w:ascii="Times New Roman" w:hAnsi="Times New Roman"/>
          <w:b/>
          <w:bCs/>
          <w:i/>
          <w:iCs/>
          <w:sz w:val="20"/>
          <w:szCs w:val="20"/>
        </w:rPr>
        <w:t>Indonesia, SDGs, Quality of Education</w:t>
      </w:r>
    </w:p>
    <w:p w14:paraId="53A108DD" w14:textId="1D63D349" w:rsidR="00C712C2" w:rsidRPr="006F7D90" w:rsidRDefault="006F13A1" w:rsidP="006F7D90">
      <w:pPr>
        <w:tabs>
          <w:tab w:val="center" w:pos="4253"/>
        </w:tabs>
        <w:spacing w:after="0" w:line="240" w:lineRule="auto"/>
        <w:ind w:left="851" w:right="849"/>
        <w:rPr>
          <w:rFonts w:ascii="Times New Roman" w:hAnsi="Times New Roman"/>
          <w:b/>
          <w:i/>
        </w:rPr>
      </w:pPr>
      <w:r w:rsidRPr="008815EB">
        <w:rPr>
          <w:rFonts w:ascii="Times New Roman" w:hAnsi="Times New Roman"/>
          <w:b/>
          <w:i/>
        </w:rPr>
        <w:t xml:space="preserve"> </w:t>
      </w:r>
      <w:r w:rsidRPr="008815EB">
        <w:rPr>
          <w:rFonts w:ascii="Times New Roman" w:hAnsi="Times New Roman"/>
          <w:b/>
          <w:i/>
        </w:rPr>
        <w:tab/>
      </w:r>
    </w:p>
    <w:p w14:paraId="52FB0357" w14:textId="77777777" w:rsidR="006F7D90" w:rsidRPr="00645E07" w:rsidRDefault="006F7D90" w:rsidP="006F7D90">
      <w:pPr>
        <w:spacing w:line="240" w:lineRule="auto"/>
        <w:contextualSpacing/>
        <w:rPr>
          <w:rFonts w:ascii="Times New Roman" w:hAnsi="Times New Roman"/>
          <w:b/>
          <w:bCs/>
          <w:sz w:val="24"/>
          <w:szCs w:val="24"/>
        </w:rPr>
      </w:pPr>
      <w:r w:rsidRPr="00645E07">
        <w:rPr>
          <w:rFonts w:ascii="Times New Roman" w:hAnsi="Times New Roman"/>
          <w:b/>
          <w:bCs/>
          <w:sz w:val="24"/>
          <w:szCs w:val="24"/>
        </w:rPr>
        <w:t>Pendahuluan</w:t>
      </w:r>
    </w:p>
    <w:p w14:paraId="0F6749E5"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0070C0"/>
          <w:sz w:val="24"/>
          <w:szCs w:val="24"/>
        </w:rPr>
      </w:pPr>
      <w:r w:rsidRPr="004B4ED8">
        <w:rPr>
          <w:rFonts w:ascii="Times New Roman" w:eastAsia="Calibri" w:hAnsi="Times New Roman"/>
          <w:noProof/>
          <w:sz w:val="24"/>
          <w:szCs w:val="24"/>
        </w:rPr>
        <w:t xml:space="preserve">Pendidikan merupakan salah satu hak sosial yang dimiliki oleh setiap warga negara. Negara harus menjamin pemenuhan sosial setiap warga negaranya tanpa terkecuali. PBB menegaskan bahwa hak terkait pendidikan harus diwujudkan  untuk menghormati HAM seperti yang tertera dalam Deklarasi Universal Hak Asasi Manusia yang ditetapkan pada 10 Desember 1948. </w:t>
      </w:r>
      <w:r w:rsidRPr="004B4ED8">
        <w:rPr>
          <w:rFonts w:ascii="Times New Roman" w:eastAsia="Calibri" w:hAnsi="Times New Roman"/>
          <w:noProof/>
          <w:color w:val="5B9BD5"/>
          <w:sz w:val="24"/>
          <w:szCs w:val="24"/>
        </w:rPr>
        <w:t>(United Nation, 1948).</w:t>
      </w:r>
    </w:p>
    <w:p w14:paraId="088A7C7C"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4472C4"/>
          <w:sz w:val="24"/>
          <w:szCs w:val="24"/>
        </w:rPr>
      </w:pPr>
      <w:r w:rsidRPr="004B4ED8">
        <w:rPr>
          <w:rFonts w:ascii="Times New Roman" w:eastAsia="Calibri" w:hAnsi="Times New Roman"/>
          <w:noProof/>
          <w:sz w:val="24"/>
          <w:szCs w:val="24"/>
        </w:rPr>
        <w:t>Kualitas pendidikan juga merupakan permasalahan global dan kesadaran dunia akan hal ini mendorong pergeseran fokus dari yang sebelumnya berfokus pada perluasan akses terhadap pendidikan seperti yang tercantum dalam MDGs (</w:t>
      </w:r>
      <w:r w:rsidRPr="004B4ED8">
        <w:rPr>
          <w:rFonts w:ascii="Times New Roman" w:eastAsia="Calibri" w:hAnsi="Times New Roman"/>
          <w:i/>
          <w:iCs/>
          <w:noProof/>
          <w:sz w:val="24"/>
          <w:szCs w:val="24"/>
        </w:rPr>
        <w:t>Millennium Development Goals</w:t>
      </w:r>
      <w:r w:rsidRPr="004B4ED8">
        <w:rPr>
          <w:rFonts w:ascii="Times New Roman" w:eastAsia="Calibri" w:hAnsi="Times New Roman"/>
          <w:noProof/>
          <w:sz w:val="24"/>
          <w:szCs w:val="24"/>
        </w:rPr>
        <w:t>) poin ke-2 menjadi peningkatan kualitas pendidikan itu sendiri seperti yang tercantum pada SDGs (</w:t>
      </w:r>
      <w:r w:rsidRPr="004B4ED8">
        <w:rPr>
          <w:rFonts w:ascii="Times New Roman" w:eastAsia="Calibri" w:hAnsi="Times New Roman"/>
          <w:i/>
          <w:iCs/>
          <w:noProof/>
          <w:sz w:val="24"/>
          <w:szCs w:val="24"/>
        </w:rPr>
        <w:t>Sustainable Development Goals</w:t>
      </w:r>
      <w:r w:rsidRPr="004B4ED8">
        <w:rPr>
          <w:rFonts w:ascii="Times New Roman" w:eastAsia="Calibri" w:hAnsi="Times New Roman"/>
          <w:noProof/>
          <w:sz w:val="24"/>
          <w:szCs w:val="24"/>
        </w:rPr>
        <w:t xml:space="preserve">) poin ke- 4. </w:t>
      </w:r>
      <w:r w:rsidRPr="004B4ED8">
        <w:rPr>
          <w:rFonts w:ascii="Times New Roman" w:eastAsia="Calibri" w:hAnsi="Times New Roman"/>
          <w:noProof/>
          <w:color w:val="5B9BD5"/>
          <w:sz w:val="24"/>
          <w:szCs w:val="24"/>
        </w:rPr>
        <w:t>(Bruns et al., 2019).</w:t>
      </w:r>
    </w:p>
    <w:p w14:paraId="43D64D8E"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000000"/>
          <w:sz w:val="24"/>
          <w:szCs w:val="24"/>
        </w:rPr>
      </w:pPr>
      <w:r w:rsidRPr="004B4ED8">
        <w:rPr>
          <w:rFonts w:ascii="Times New Roman" w:eastAsia="Calibri" w:hAnsi="Times New Roman"/>
          <w:noProof/>
          <w:color w:val="000000"/>
          <w:sz w:val="24"/>
          <w:szCs w:val="24"/>
        </w:rPr>
        <w:t xml:space="preserve">Sebenarnya Indonesia telah menerapkan wajib 12 tahun sejak tahun 2013, yang tertera dalam Peraturan Menteri Pendidikan dan Kebudayaan Nomor 80 Tahun 2013.  Namun, jika melihat data UNDP tahun 2018 tentang peringkat IPM (Indeks Pengembangan Manusia), yang salah satu indikatornya mengukur terkait pendidikan, Indonesia berada di posisi yang kurang baik. Di antara 189 negara di dunia, Indonesia menempati urutan ke-111 dan tergolong sebagai </w:t>
      </w:r>
      <w:r w:rsidRPr="004B4ED8">
        <w:rPr>
          <w:rFonts w:ascii="Times New Roman" w:eastAsia="Calibri" w:hAnsi="Times New Roman"/>
          <w:i/>
          <w:iCs/>
          <w:noProof/>
          <w:color w:val="000000"/>
          <w:sz w:val="24"/>
          <w:szCs w:val="24"/>
        </w:rPr>
        <w:t>Medium Human Development</w:t>
      </w:r>
      <w:r w:rsidRPr="004B4ED8">
        <w:rPr>
          <w:rFonts w:ascii="Times New Roman" w:eastAsia="Calibri" w:hAnsi="Times New Roman"/>
          <w:iCs/>
          <w:noProof/>
          <w:color w:val="000000"/>
          <w:sz w:val="24"/>
          <w:szCs w:val="24"/>
        </w:rPr>
        <w:t xml:space="preserve"> padahal Indonesia terbilang sudah merdeka terlebih dulu pada tahun 1945 tetapi sudah</w:t>
      </w:r>
      <w:r w:rsidRPr="004B4ED8">
        <w:rPr>
          <w:rFonts w:ascii="Times New Roman" w:eastAsia="Calibri" w:hAnsi="Times New Roman"/>
          <w:noProof/>
          <w:color w:val="000000"/>
          <w:sz w:val="24"/>
          <w:szCs w:val="24"/>
        </w:rPr>
        <w:t xml:space="preserve"> jauh tertinggal dari negara tetangga yang notabene lebih lambat merdeka namun telah berada dua tingkat di atas Indonesia sebagai negara dengan predikat </w:t>
      </w:r>
      <w:r w:rsidRPr="004B4ED8">
        <w:rPr>
          <w:rFonts w:ascii="Times New Roman" w:eastAsia="Calibri" w:hAnsi="Times New Roman"/>
          <w:i/>
          <w:iCs/>
          <w:noProof/>
          <w:color w:val="000000"/>
          <w:sz w:val="24"/>
          <w:szCs w:val="24"/>
        </w:rPr>
        <w:t>Very High Human Development</w:t>
      </w:r>
      <w:r w:rsidRPr="004B4ED8">
        <w:rPr>
          <w:rFonts w:ascii="Times New Roman" w:eastAsia="Calibri" w:hAnsi="Times New Roman"/>
          <w:noProof/>
          <w:color w:val="000000"/>
          <w:sz w:val="24"/>
          <w:szCs w:val="24"/>
        </w:rPr>
        <w:t xml:space="preserve"> seperti Brunei Darussalam yang baru merdeka pada tahun 1984  di posisi ke-43 dan Singapura yang merdeka pada tahun 1965 di posisi ke-9 </w:t>
      </w:r>
      <w:r w:rsidRPr="004B4ED8">
        <w:rPr>
          <w:rFonts w:ascii="Times New Roman" w:eastAsia="Calibri" w:hAnsi="Times New Roman"/>
          <w:noProof/>
          <w:color w:val="5B9BD5"/>
          <w:sz w:val="24"/>
          <w:szCs w:val="24"/>
        </w:rPr>
        <w:t>(UNDP, 2019)</w:t>
      </w:r>
      <w:r w:rsidRPr="004B4ED8">
        <w:rPr>
          <w:rFonts w:ascii="Times New Roman" w:eastAsia="Calibri" w:hAnsi="Times New Roman"/>
          <w:noProof/>
          <w:color w:val="000000"/>
          <w:sz w:val="24"/>
          <w:szCs w:val="24"/>
        </w:rPr>
        <w:t>.</w:t>
      </w:r>
    </w:p>
    <w:p w14:paraId="0F6A1662"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000000"/>
          <w:sz w:val="24"/>
          <w:szCs w:val="24"/>
        </w:rPr>
      </w:pPr>
      <w:r w:rsidRPr="004B4ED8">
        <w:rPr>
          <w:rFonts w:ascii="Times New Roman" w:eastAsia="Calibri" w:hAnsi="Times New Roman"/>
          <w:noProof/>
          <w:color w:val="000000"/>
          <w:sz w:val="24"/>
          <w:szCs w:val="24"/>
        </w:rPr>
        <w:t xml:space="preserve">Data-data di atas mengindikasikan bahwa adanya masalah yang terjadi pada sistem pendidikan di Indonesia. Hal tersebut terjadi dikarenakan Indonesia masih memiliki beberapa kendala terkait dengan kualitas pendidikan di negaranya. Diantaranya </w:t>
      </w:r>
      <w:r w:rsidRPr="004B4ED8">
        <w:rPr>
          <w:rFonts w:ascii="Times New Roman" w:eastAsia="Calibri" w:hAnsi="Times New Roman"/>
          <w:noProof/>
          <w:color w:val="000000"/>
          <w:sz w:val="24"/>
          <w:szCs w:val="24"/>
        </w:rPr>
        <w:lastRenderedPageBreak/>
        <w:t>yakni permasalahan terkait kualitas guru dan tenaga pendidikan, permasalahan infrastruktur pendidikan, dan permasalahan vokasi serta kemampuan kerja.</w:t>
      </w:r>
    </w:p>
    <w:p w14:paraId="73E96040"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000000"/>
          <w:sz w:val="24"/>
          <w:szCs w:val="24"/>
        </w:rPr>
      </w:pPr>
      <w:r w:rsidRPr="004B4ED8">
        <w:rPr>
          <w:rFonts w:ascii="Times New Roman" w:eastAsia="Calibri" w:hAnsi="Times New Roman"/>
          <w:noProof/>
          <w:color w:val="000000"/>
          <w:sz w:val="24"/>
          <w:szCs w:val="24"/>
          <w:lang w:val="en-US"/>
        </w:rPr>
        <w:t>Permasalahan pertama kualitas guru dan tenaga pendidikan, data dari The Global Education Monitoring Report yang dirilis oleh UNESCO tahun 2016 menyatakan bahwa kualitas guru yang ada di Indonesia menempati urutan ke-14 dari 14 negara berkembang di dunia.</w:t>
      </w:r>
      <w:r w:rsidRPr="004B4ED8">
        <w:rPr>
          <w:rFonts w:ascii="Times New Roman" w:eastAsia="Calibri" w:hAnsi="Times New Roman"/>
          <w:noProof/>
          <w:color w:val="000000"/>
          <w:sz w:val="24"/>
          <w:szCs w:val="24"/>
        </w:rPr>
        <w:t xml:space="preserve"> </w:t>
      </w:r>
      <w:r w:rsidRPr="004B4ED8">
        <w:rPr>
          <w:rFonts w:ascii="Times New Roman" w:eastAsia="Calibri" w:hAnsi="Times New Roman"/>
          <w:noProof/>
          <w:color w:val="5B9BD5"/>
          <w:sz w:val="24"/>
          <w:szCs w:val="24"/>
        </w:rPr>
        <w:t>(UNESCO, 2016)</w:t>
      </w:r>
      <w:r w:rsidRPr="004B4ED8">
        <w:rPr>
          <w:rFonts w:ascii="Times New Roman" w:eastAsia="Calibri" w:hAnsi="Times New Roman"/>
          <w:noProof/>
          <w:color w:val="000000"/>
          <w:sz w:val="24"/>
          <w:szCs w:val="24"/>
        </w:rPr>
        <w:t xml:space="preserve">. </w:t>
      </w:r>
    </w:p>
    <w:p w14:paraId="5B1E6F5C"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000000"/>
          <w:sz w:val="24"/>
          <w:szCs w:val="24"/>
        </w:rPr>
      </w:pPr>
      <w:r w:rsidRPr="004B4ED8">
        <w:rPr>
          <w:rFonts w:ascii="Times New Roman" w:eastAsia="Calibri" w:hAnsi="Times New Roman"/>
          <w:noProof/>
          <w:color w:val="000000"/>
          <w:sz w:val="24"/>
          <w:szCs w:val="24"/>
        </w:rPr>
        <w:t xml:space="preserve">Selain itu, hasil dari Uji Kompetensi Guru pada tahun 2012-2015 masih tergolong rendah. Berikut datanya: </w:t>
      </w:r>
      <w:r w:rsidRPr="004B4ED8">
        <w:rPr>
          <w:rFonts w:ascii="Times New Roman" w:eastAsia="Calibri" w:hAnsi="Times New Roman"/>
          <w:noProof/>
          <w:color w:val="5B9BD5"/>
          <w:sz w:val="24"/>
          <w:szCs w:val="24"/>
        </w:rPr>
        <w:t>(Kemendikbud, 2017)</w:t>
      </w:r>
    </w:p>
    <w:p w14:paraId="39A2FCDB" w14:textId="77777777" w:rsidR="004B4ED8" w:rsidRPr="004B4ED8" w:rsidRDefault="004B4ED8" w:rsidP="004B4ED8">
      <w:pPr>
        <w:spacing w:after="40" w:line="240" w:lineRule="auto"/>
        <w:jc w:val="center"/>
        <w:rPr>
          <w:rFonts w:ascii="Times New Roman" w:eastAsia="Calibri" w:hAnsi="Times New Roman"/>
          <w:noProof/>
          <w:sz w:val="24"/>
          <w:szCs w:val="24"/>
        </w:rPr>
      </w:pPr>
      <w:r w:rsidRPr="004B4ED8">
        <w:rPr>
          <w:rFonts w:ascii="Times New Roman" w:eastAsia="Calibri" w:hAnsi="Times New Roman"/>
          <w:noProof/>
          <w:sz w:val="24"/>
          <w:szCs w:val="24"/>
        </w:rPr>
        <w:t xml:space="preserve">Tabel </w:t>
      </w:r>
      <w:r w:rsidRPr="004B4ED8">
        <w:rPr>
          <w:rFonts w:ascii="Times New Roman" w:eastAsia="Calibri" w:hAnsi="Times New Roman"/>
          <w:noProof/>
          <w:sz w:val="24"/>
          <w:szCs w:val="24"/>
          <w:lang w:val="en-US"/>
        </w:rPr>
        <w:t xml:space="preserve">1 </w:t>
      </w:r>
      <w:r w:rsidRPr="004B4ED8">
        <w:rPr>
          <w:rFonts w:ascii="Times New Roman" w:eastAsia="Calibri" w:hAnsi="Times New Roman"/>
          <w:noProof/>
          <w:sz w:val="24"/>
          <w:szCs w:val="24"/>
        </w:rPr>
        <w:t>Perkembangan Nilai UKG Indonesia Tahun 2012-2015</w:t>
      </w:r>
    </w:p>
    <w:tbl>
      <w:tblPr>
        <w:tblStyle w:val="TableGrid1"/>
        <w:tblW w:w="0" w:type="auto"/>
        <w:jc w:val="center"/>
        <w:tblLook w:val="04A0" w:firstRow="1" w:lastRow="0" w:firstColumn="1" w:lastColumn="0" w:noHBand="0" w:noVBand="1"/>
      </w:tblPr>
      <w:tblGrid>
        <w:gridCol w:w="2755"/>
        <w:gridCol w:w="1293"/>
        <w:gridCol w:w="1293"/>
        <w:gridCol w:w="1293"/>
        <w:gridCol w:w="1293"/>
      </w:tblGrid>
      <w:tr w:rsidR="004B4ED8" w:rsidRPr="004B4ED8" w14:paraId="0634F4C2" w14:textId="77777777" w:rsidTr="00AE2B20">
        <w:trPr>
          <w:trHeight w:val="210"/>
          <w:jc w:val="center"/>
        </w:trPr>
        <w:tc>
          <w:tcPr>
            <w:tcW w:w="2755" w:type="dxa"/>
            <w:vMerge w:val="restart"/>
            <w:shd w:val="clear" w:color="auto" w:fill="D9D9D9"/>
            <w:vAlign w:val="center"/>
          </w:tcPr>
          <w:p w14:paraId="3CCB2EA2" w14:textId="77777777" w:rsidR="004B4ED8" w:rsidRPr="004B4ED8" w:rsidRDefault="004B4ED8" w:rsidP="004B4ED8">
            <w:pPr>
              <w:tabs>
                <w:tab w:val="center" w:pos="1418"/>
                <w:tab w:val="right" w:pos="2837"/>
              </w:tabs>
              <w:spacing w:after="40" w:line="240" w:lineRule="auto"/>
              <w:jc w:val="center"/>
              <w:rPr>
                <w:rFonts w:ascii="Times New Roman" w:hAnsi="Times New Roman"/>
                <w:b/>
                <w:bCs/>
                <w:noProof/>
                <w:sz w:val="20"/>
                <w:szCs w:val="20"/>
              </w:rPr>
            </w:pPr>
            <w:r w:rsidRPr="004B4ED8">
              <w:rPr>
                <w:rFonts w:ascii="Times New Roman" w:hAnsi="Times New Roman"/>
                <w:b/>
                <w:bCs/>
                <w:noProof/>
                <w:sz w:val="20"/>
                <w:szCs w:val="20"/>
              </w:rPr>
              <w:t>Uraian</w:t>
            </w:r>
          </w:p>
        </w:tc>
        <w:tc>
          <w:tcPr>
            <w:tcW w:w="5172" w:type="dxa"/>
            <w:gridSpan w:val="4"/>
            <w:shd w:val="clear" w:color="auto" w:fill="D9D9D9"/>
          </w:tcPr>
          <w:p w14:paraId="59C8C4DB" w14:textId="77777777" w:rsidR="004B4ED8" w:rsidRPr="004B4ED8" w:rsidRDefault="004B4ED8" w:rsidP="004B4ED8">
            <w:pPr>
              <w:spacing w:after="40" w:line="240" w:lineRule="auto"/>
              <w:jc w:val="center"/>
              <w:rPr>
                <w:rFonts w:ascii="Times New Roman" w:hAnsi="Times New Roman"/>
                <w:b/>
                <w:bCs/>
                <w:noProof/>
                <w:sz w:val="20"/>
                <w:szCs w:val="20"/>
              </w:rPr>
            </w:pPr>
            <w:r w:rsidRPr="004B4ED8">
              <w:rPr>
                <w:rFonts w:ascii="Times New Roman" w:hAnsi="Times New Roman"/>
                <w:b/>
                <w:bCs/>
                <w:noProof/>
                <w:sz w:val="20"/>
                <w:szCs w:val="20"/>
              </w:rPr>
              <w:t>Tahun Pelaksanaan UKG</w:t>
            </w:r>
          </w:p>
        </w:tc>
      </w:tr>
      <w:tr w:rsidR="004B4ED8" w:rsidRPr="004B4ED8" w14:paraId="1A97A53B" w14:textId="77777777" w:rsidTr="00AE2B20">
        <w:trPr>
          <w:trHeight w:val="70"/>
          <w:jc w:val="center"/>
        </w:trPr>
        <w:tc>
          <w:tcPr>
            <w:tcW w:w="2755" w:type="dxa"/>
            <w:vMerge/>
            <w:shd w:val="clear" w:color="auto" w:fill="D9D9D9"/>
          </w:tcPr>
          <w:p w14:paraId="389E58DF" w14:textId="77777777" w:rsidR="004B4ED8" w:rsidRPr="004B4ED8" w:rsidRDefault="004B4ED8" w:rsidP="004B4ED8">
            <w:pPr>
              <w:spacing w:after="40" w:line="240" w:lineRule="auto"/>
              <w:jc w:val="center"/>
              <w:rPr>
                <w:rFonts w:ascii="Times New Roman" w:hAnsi="Times New Roman"/>
                <w:b/>
                <w:bCs/>
                <w:noProof/>
                <w:sz w:val="20"/>
                <w:szCs w:val="20"/>
              </w:rPr>
            </w:pPr>
          </w:p>
        </w:tc>
        <w:tc>
          <w:tcPr>
            <w:tcW w:w="1293" w:type="dxa"/>
            <w:shd w:val="clear" w:color="auto" w:fill="D9D9D9"/>
            <w:vAlign w:val="center"/>
          </w:tcPr>
          <w:p w14:paraId="2DC424CD" w14:textId="77777777" w:rsidR="004B4ED8" w:rsidRPr="004B4ED8" w:rsidRDefault="004B4ED8" w:rsidP="004B4ED8">
            <w:pPr>
              <w:spacing w:after="40" w:line="240" w:lineRule="auto"/>
              <w:jc w:val="center"/>
              <w:rPr>
                <w:rFonts w:ascii="Times New Roman" w:hAnsi="Times New Roman"/>
                <w:b/>
                <w:bCs/>
                <w:noProof/>
                <w:sz w:val="20"/>
                <w:szCs w:val="20"/>
              </w:rPr>
            </w:pPr>
            <w:r w:rsidRPr="004B4ED8">
              <w:rPr>
                <w:rFonts w:ascii="Times New Roman" w:hAnsi="Times New Roman"/>
                <w:b/>
                <w:bCs/>
                <w:noProof/>
                <w:sz w:val="20"/>
                <w:szCs w:val="20"/>
              </w:rPr>
              <w:t>2012</w:t>
            </w:r>
          </w:p>
        </w:tc>
        <w:tc>
          <w:tcPr>
            <w:tcW w:w="1293" w:type="dxa"/>
            <w:shd w:val="clear" w:color="auto" w:fill="D9D9D9"/>
            <w:vAlign w:val="center"/>
          </w:tcPr>
          <w:p w14:paraId="58C49261" w14:textId="77777777" w:rsidR="004B4ED8" w:rsidRPr="004B4ED8" w:rsidRDefault="004B4ED8" w:rsidP="004B4ED8">
            <w:pPr>
              <w:spacing w:after="40" w:line="240" w:lineRule="auto"/>
              <w:jc w:val="center"/>
              <w:rPr>
                <w:rFonts w:ascii="Times New Roman" w:hAnsi="Times New Roman"/>
                <w:b/>
                <w:bCs/>
                <w:noProof/>
                <w:sz w:val="20"/>
                <w:szCs w:val="20"/>
              </w:rPr>
            </w:pPr>
            <w:r w:rsidRPr="004B4ED8">
              <w:rPr>
                <w:rFonts w:ascii="Times New Roman" w:hAnsi="Times New Roman"/>
                <w:b/>
                <w:bCs/>
                <w:noProof/>
                <w:sz w:val="20"/>
                <w:szCs w:val="20"/>
              </w:rPr>
              <w:t>2013</w:t>
            </w:r>
          </w:p>
        </w:tc>
        <w:tc>
          <w:tcPr>
            <w:tcW w:w="1293" w:type="dxa"/>
            <w:shd w:val="clear" w:color="auto" w:fill="D9D9D9"/>
            <w:vAlign w:val="center"/>
          </w:tcPr>
          <w:p w14:paraId="08307F24" w14:textId="77777777" w:rsidR="004B4ED8" w:rsidRPr="004B4ED8" w:rsidRDefault="004B4ED8" w:rsidP="004B4ED8">
            <w:pPr>
              <w:spacing w:after="40" w:line="240" w:lineRule="auto"/>
              <w:jc w:val="center"/>
              <w:rPr>
                <w:rFonts w:ascii="Times New Roman" w:hAnsi="Times New Roman"/>
                <w:b/>
                <w:bCs/>
                <w:noProof/>
                <w:sz w:val="20"/>
                <w:szCs w:val="20"/>
              </w:rPr>
            </w:pPr>
            <w:r w:rsidRPr="004B4ED8">
              <w:rPr>
                <w:rFonts w:ascii="Times New Roman" w:hAnsi="Times New Roman"/>
                <w:b/>
                <w:bCs/>
                <w:noProof/>
                <w:sz w:val="20"/>
                <w:szCs w:val="20"/>
              </w:rPr>
              <w:t>2014</w:t>
            </w:r>
          </w:p>
        </w:tc>
        <w:tc>
          <w:tcPr>
            <w:tcW w:w="1293" w:type="dxa"/>
            <w:shd w:val="clear" w:color="auto" w:fill="D9D9D9"/>
            <w:vAlign w:val="center"/>
          </w:tcPr>
          <w:p w14:paraId="478A2AC5" w14:textId="77777777" w:rsidR="004B4ED8" w:rsidRPr="004B4ED8" w:rsidRDefault="004B4ED8" w:rsidP="004B4ED8">
            <w:pPr>
              <w:spacing w:after="40" w:line="240" w:lineRule="auto"/>
              <w:jc w:val="center"/>
              <w:rPr>
                <w:rFonts w:ascii="Times New Roman" w:hAnsi="Times New Roman"/>
                <w:b/>
                <w:bCs/>
                <w:noProof/>
                <w:sz w:val="20"/>
                <w:szCs w:val="20"/>
              </w:rPr>
            </w:pPr>
            <w:r w:rsidRPr="004B4ED8">
              <w:rPr>
                <w:rFonts w:ascii="Times New Roman" w:hAnsi="Times New Roman"/>
                <w:b/>
                <w:bCs/>
                <w:noProof/>
                <w:sz w:val="20"/>
                <w:szCs w:val="20"/>
              </w:rPr>
              <w:t>2015</w:t>
            </w:r>
          </w:p>
        </w:tc>
      </w:tr>
      <w:tr w:rsidR="004B4ED8" w:rsidRPr="004B4ED8" w14:paraId="37F09348" w14:textId="77777777" w:rsidTr="00AE2B20">
        <w:trPr>
          <w:trHeight w:val="146"/>
          <w:jc w:val="center"/>
        </w:trPr>
        <w:tc>
          <w:tcPr>
            <w:tcW w:w="2755" w:type="dxa"/>
            <w:shd w:val="clear" w:color="auto" w:fill="D9D9D9"/>
          </w:tcPr>
          <w:p w14:paraId="46AA7DDB" w14:textId="77777777" w:rsidR="004B4ED8" w:rsidRPr="004B4ED8" w:rsidRDefault="004B4ED8" w:rsidP="004B4ED8">
            <w:pPr>
              <w:spacing w:after="40" w:line="240" w:lineRule="auto"/>
              <w:jc w:val="center"/>
              <w:rPr>
                <w:rFonts w:ascii="Times New Roman" w:hAnsi="Times New Roman"/>
                <w:noProof/>
                <w:sz w:val="20"/>
                <w:szCs w:val="20"/>
                <w:lang w:val="en-US"/>
              </w:rPr>
            </w:pPr>
            <w:r w:rsidRPr="004B4ED8">
              <w:rPr>
                <w:rFonts w:ascii="Times New Roman" w:hAnsi="Times New Roman"/>
                <w:noProof/>
                <w:sz w:val="20"/>
                <w:szCs w:val="20"/>
              </w:rPr>
              <w:t xml:space="preserve">Rerata Nilai UKG </w:t>
            </w:r>
            <w:r w:rsidRPr="004B4ED8">
              <w:rPr>
                <w:rFonts w:ascii="Times New Roman" w:hAnsi="Times New Roman"/>
                <w:noProof/>
                <w:sz w:val="20"/>
                <w:szCs w:val="20"/>
                <w:lang w:val="en-US"/>
              </w:rPr>
              <w:t>G</w:t>
            </w:r>
            <w:r w:rsidRPr="004B4ED8">
              <w:rPr>
                <w:rFonts w:ascii="Times New Roman" w:hAnsi="Times New Roman"/>
                <w:noProof/>
                <w:sz w:val="20"/>
                <w:szCs w:val="20"/>
              </w:rPr>
              <w:t>uru</w:t>
            </w:r>
            <w:r w:rsidRPr="004B4ED8">
              <w:rPr>
                <w:rFonts w:ascii="Times New Roman" w:hAnsi="Times New Roman"/>
                <w:noProof/>
                <w:sz w:val="20"/>
                <w:szCs w:val="20"/>
                <w:lang w:val="en-US"/>
              </w:rPr>
              <w:t xml:space="preserve"> Nasional</w:t>
            </w:r>
          </w:p>
        </w:tc>
        <w:tc>
          <w:tcPr>
            <w:tcW w:w="1293" w:type="dxa"/>
            <w:shd w:val="clear" w:color="auto" w:fill="D9D9D9"/>
            <w:vAlign w:val="center"/>
          </w:tcPr>
          <w:p w14:paraId="15AB27F5" w14:textId="77777777" w:rsidR="004B4ED8" w:rsidRPr="004B4ED8" w:rsidRDefault="004B4ED8" w:rsidP="004B4ED8">
            <w:pPr>
              <w:spacing w:after="40" w:line="240" w:lineRule="auto"/>
              <w:jc w:val="center"/>
              <w:rPr>
                <w:rFonts w:ascii="Times New Roman" w:hAnsi="Times New Roman"/>
                <w:noProof/>
                <w:sz w:val="20"/>
                <w:szCs w:val="20"/>
              </w:rPr>
            </w:pPr>
            <w:r w:rsidRPr="004B4ED8">
              <w:rPr>
                <w:rFonts w:ascii="Times New Roman" w:hAnsi="Times New Roman"/>
                <w:noProof/>
                <w:sz w:val="20"/>
                <w:szCs w:val="20"/>
              </w:rPr>
              <w:t>45,85</w:t>
            </w:r>
          </w:p>
        </w:tc>
        <w:tc>
          <w:tcPr>
            <w:tcW w:w="1293" w:type="dxa"/>
            <w:shd w:val="clear" w:color="auto" w:fill="D9D9D9"/>
            <w:vAlign w:val="center"/>
          </w:tcPr>
          <w:p w14:paraId="62289CF9" w14:textId="77777777" w:rsidR="004B4ED8" w:rsidRPr="004B4ED8" w:rsidRDefault="004B4ED8" w:rsidP="004B4ED8">
            <w:pPr>
              <w:spacing w:after="40" w:line="240" w:lineRule="auto"/>
              <w:jc w:val="center"/>
              <w:rPr>
                <w:rFonts w:ascii="Times New Roman" w:hAnsi="Times New Roman"/>
                <w:noProof/>
                <w:sz w:val="20"/>
                <w:szCs w:val="20"/>
              </w:rPr>
            </w:pPr>
            <w:r w:rsidRPr="004B4ED8">
              <w:rPr>
                <w:rFonts w:ascii="Times New Roman" w:hAnsi="Times New Roman"/>
                <w:noProof/>
                <w:sz w:val="20"/>
                <w:szCs w:val="20"/>
              </w:rPr>
              <w:t>47,84</w:t>
            </w:r>
          </w:p>
        </w:tc>
        <w:tc>
          <w:tcPr>
            <w:tcW w:w="1293" w:type="dxa"/>
            <w:shd w:val="clear" w:color="auto" w:fill="D9D9D9"/>
            <w:vAlign w:val="center"/>
          </w:tcPr>
          <w:p w14:paraId="4B1AD46C" w14:textId="77777777" w:rsidR="004B4ED8" w:rsidRPr="004B4ED8" w:rsidRDefault="004B4ED8" w:rsidP="004B4ED8">
            <w:pPr>
              <w:spacing w:after="40" w:line="240" w:lineRule="auto"/>
              <w:jc w:val="center"/>
              <w:rPr>
                <w:rFonts w:ascii="Times New Roman" w:hAnsi="Times New Roman"/>
                <w:noProof/>
                <w:sz w:val="20"/>
                <w:szCs w:val="20"/>
              </w:rPr>
            </w:pPr>
            <w:r w:rsidRPr="004B4ED8">
              <w:rPr>
                <w:rFonts w:ascii="Times New Roman" w:hAnsi="Times New Roman"/>
                <w:noProof/>
                <w:sz w:val="20"/>
                <w:szCs w:val="20"/>
              </w:rPr>
              <w:t>48,95</w:t>
            </w:r>
          </w:p>
        </w:tc>
        <w:tc>
          <w:tcPr>
            <w:tcW w:w="1293" w:type="dxa"/>
            <w:shd w:val="clear" w:color="auto" w:fill="D9D9D9"/>
            <w:vAlign w:val="center"/>
          </w:tcPr>
          <w:p w14:paraId="5F541683" w14:textId="77777777" w:rsidR="004B4ED8" w:rsidRPr="004B4ED8" w:rsidRDefault="004B4ED8" w:rsidP="004B4ED8">
            <w:pPr>
              <w:spacing w:after="40" w:line="240" w:lineRule="auto"/>
              <w:jc w:val="center"/>
              <w:rPr>
                <w:rFonts w:ascii="Times New Roman" w:hAnsi="Times New Roman"/>
                <w:noProof/>
                <w:sz w:val="20"/>
                <w:szCs w:val="20"/>
              </w:rPr>
            </w:pPr>
            <w:r w:rsidRPr="004B4ED8">
              <w:rPr>
                <w:rFonts w:ascii="Times New Roman" w:hAnsi="Times New Roman"/>
                <w:noProof/>
                <w:sz w:val="20"/>
                <w:szCs w:val="20"/>
              </w:rPr>
              <w:t>56,77</w:t>
            </w:r>
          </w:p>
        </w:tc>
      </w:tr>
    </w:tbl>
    <w:p w14:paraId="234EF604" w14:textId="77777777" w:rsidR="004B4ED8" w:rsidRPr="004B4ED8" w:rsidRDefault="004B4ED8" w:rsidP="004B4ED8">
      <w:pPr>
        <w:spacing w:after="160" w:line="240" w:lineRule="auto"/>
        <w:contextualSpacing/>
        <w:jc w:val="center"/>
        <w:rPr>
          <w:rFonts w:ascii="Times New Roman" w:eastAsia="Calibri" w:hAnsi="Times New Roman"/>
          <w:bCs/>
          <w:noProof/>
          <w:sz w:val="24"/>
          <w:lang w:val="en-US"/>
        </w:rPr>
      </w:pPr>
      <w:r w:rsidRPr="004B4ED8">
        <w:rPr>
          <w:rFonts w:ascii="Times New Roman" w:eastAsia="Calibri" w:hAnsi="Times New Roman"/>
          <w:bCs/>
          <w:noProof/>
          <w:sz w:val="24"/>
        </w:rPr>
        <w:t xml:space="preserve">Sumber: </w:t>
      </w:r>
      <w:r w:rsidRPr="004B4ED8">
        <w:rPr>
          <w:rFonts w:ascii="Times New Roman" w:eastAsia="Calibri" w:hAnsi="Times New Roman"/>
          <w:bCs/>
          <w:noProof/>
          <w:sz w:val="24"/>
          <w:lang w:val="en-US"/>
        </w:rPr>
        <w:t>Kemendikbud</w:t>
      </w:r>
    </w:p>
    <w:p w14:paraId="2740CE86" w14:textId="77777777" w:rsidR="004B4ED8" w:rsidRPr="004B4ED8" w:rsidRDefault="004B4ED8" w:rsidP="004B4ED8">
      <w:pPr>
        <w:spacing w:after="160" w:line="240" w:lineRule="auto"/>
        <w:contextualSpacing/>
        <w:jc w:val="center"/>
        <w:rPr>
          <w:rFonts w:ascii="Times New Roman" w:eastAsia="Calibri" w:hAnsi="Times New Roman"/>
          <w:bCs/>
          <w:noProof/>
          <w:sz w:val="24"/>
          <w:lang w:val="en-US"/>
        </w:rPr>
      </w:pPr>
    </w:p>
    <w:p w14:paraId="7C3FA0B3" w14:textId="77777777" w:rsidR="004B4ED8" w:rsidRPr="004B4ED8" w:rsidRDefault="004B4ED8" w:rsidP="004B4ED8">
      <w:pPr>
        <w:spacing w:after="40" w:line="240" w:lineRule="auto"/>
        <w:ind w:firstLine="851"/>
        <w:contextualSpacing/>
        <w:jc w:val="both"/>
        <w:rPr>
          <w:rFonts w:ascii="Times New Roman" w:eastAsia="Calibri" w:hAnsi="Times New Roman"/>
          <w:noProof/>
          <w:sz w:val="24"/>
          <w:szCs w:val="24"/>
        </w:rPr>
      </w:pPr>
      <w:r w:rsidRPr="004B4ED8">
        <w:rPr>
          <w:rFonts w:ascii="Times New Roman" w:eastAsia="Calibri" w:hAnsi="Times New Roman"/>
          <w:noProof/>
          <w:sz w:val="24"/>
          <w:szCs w:val="24"/>
          <w:lang w:val="en-US"/>
        </w:rPr>
        <w:t>Permasalahan ke-</w:t>
      </w:r>
      <w:r w:rsidRPr="004B4ED8">
        <w:rPr>
          <w:rFonts w:ascii="Times New Roman" w:eastAsia="Calibri" w:hAnsi="Times New Roman"/>
          <w:noProof/>
          <w:sz w:val="24"/>
          <w:szCs w:val="24"/>
        </w:rPr>
        <w:t>2</w:t>
      </w:r>
      <w:r w:rsidRPr="004B4ED8">
        <w:rPr>
          <w:rFonts w:ascii="Times New Roman" w:eastAsia="Calibri" w:hAnsi="Times New Roman"/>
          <w:noProof/>
          <w:sz w:val="24"/>
          <w:szCs w:val="24"/>
          <w:lang w:val="en-US"/>
        </w:rPr>
        <w:t xml:space="preserve"> adalah </w:t>
      </w:r>
      <w:r w:rsidRPr="004B4ED8">
        <w:rPr>
          <w:rFonts w:ascii="Times New Roman" w:eastAsia="Calibri" w:hAnsi="Times New Roman"/>
          <w:noProof/>
          <w:sz w:val="24"/>
          <w:szCs w:val="24"/>
        </w:rPr>
        <w:t>infrastruktur pendidikan</w:t>
      </w:r>
      <w:r w:rsidRPr="004B4ED8">
        <w:rPr>
          <w:rFonts w:ascii="Times New Roman" w:eastAsia="Calibri" w:hAnsi="Times New Roman"/>
          <w:noProof/>
          <w:sz w:val="24"/>
          <w:szCs w:val="24"/>
          <w:lang w:val="en-US"/>
        </w:rPr>
        <w:t xml:space="preserve">. </w:t>
      </w:r>
      <w:r w:rsidRPr="004B4ED8">
        <w:rPr>
          <w:rFonts w:ascii="Times New Roman" w:eastAsia="Calibri" w:hAnsi="Times New Roman"/>
          <w:noProof/>
          <w:sz w:val="24"/>
          <w:szCs w:val="24"/>
        </w:rPr>
        <w:t>Menurut data dari kemendikbud pada</w:t>
      </w:r>
      <w:r w:rsidRPr="004B4ED8">
        <w:rPr>
          <w:rFonts w:ascii="Times New Roman" w:eastAsia="Calibri" w:hAnsi="Times New Roman"/>
          <w:noProof/>
          <w:sz w:val="24"/>
          <w:szCs w:val="24"/>
          <w:lang w:val="en-US"/>
        </w:rPr>
        <w:t xml:space="preserve"> tahun 201</w:t>
      </w:r>
      <w:r w:rsidRPr="004B4ED8">
        <w:rPr>
          <w:rFonts w:ascii="Times New Roman" w:eastAsia="Calibri" w:hAnsi="Times New Roman"/>
          <w:noProof/>
          <w:sz w:val="24"/>
          <w:szCs w:val="24"/>
        </w:rPr>
        <w:t>8</w:t>
      </w:r>
      <w:r w:rsidRPr="004B4ED8">
        <w:rPr>
          <w:rFonts w:ascii="Times New Roman" w:eastAsia="Calibri" w:hAnsi="Times New Roman"/>
          <w:noProof/>
          <w:sz w:val="24"/>
          <w:szCs w:val="24"/>
          <w:lang w:val="en-US"/>
        </w:rPr>
        <w:t>-201</w:t>
      </w:r>
      <w:r w:rsidRPr="004B4ED8">
        <w:rPr>
          <w:rFonts w:ascii="Times New Roman" w:eastAsia="Calibri" w:hAnsi="Times New Roman"/>
          <w:noProof/>
          <w:sz w:val="24"/>
          <w:szCs w:val="24"/>
        </w:rPr>
        <w:t>9 masih terdapat banyak ruang</w:t>
      </w:r>
      <w:r w:rsidRPr="004B4ED8">
        <w:rPr>
          <w:rFonts w:ascii="Times New Roman" w:eastAsia="Calibri" w:hAnsi="Times New Roman"/>
          <w:noProof/>
          <w:sz w:val="24"/>
          <w:szCs w:val="24"/>
          <w:lang w:val="en-US"/>
        </w:rPr>
        <w:t>-ruang</w:t>
      </w:r>
      <w:r w:rsidRPr="004B4ED8">
        <w:rPr>
          <w:rFonts w:ascii="Times New Roman" w:eastAsia="Calibri" w:hAnsi="Times New Roman"/>
          <w:noProof/>
          <w:sz w:val="24"/>
          <w:szCs w:val="24"/>
        </w:rPr>
        <w:t xml:space="preserve"> kelas yang rusak di Indonesia.</w:t>
      </w:r>
      <w:r w:rsidRPr="004B4ED8">
        <w:rPr>
          <w:rFonts w:ascii="Times New Roman" w:eastAsia="Calibri" w:hAnsi="Times New Roman"/>
          <w:noProof/>
          <w:color w:val="5B9BD5"/>
          <w:sz w:val="24"/>
          <w:szCs w:val="24"/>
        </w:rPr>
        <w:t xml:space="preserve"> </w:t>
      </w:r>
      <w:r w:rsidRPr="004B4ED8">
        <w:rPr>
          <w:rFonts w:ascii="Times New Roman" w:eastAsia="Calibri" w:hAnsi="Times New Roman"/>
          <w:noProof/>
          <w:sz w:val="24"/>
          <w:szCs w:val="24"/>
        </w:rPr>
        <w:t>Berikut pemaparan datanya (</w:t>
      </w:r>
      <w:r w:rsidRPr="004B4ED8">
        <w:rPr>
          <w:rFonts w:ascii="Times New Roman" w:eastAsia="Calibri" w:hAnsi="Times New Roman"/>
          <w:noProof/>
          <w:color w:val="5B9BD5"/>
          <w:sz w:val="24"/>
          <w:szCs w:val="24"/>
        </w:rPr>
        <w:t>Kemendikbud, 2019)</w:t>
      </w:r>
    </w:p>
    <w:p w14:paraId="3004F1CF" w14:textId="77777777" w:rsidR="004B4ED8" w:rsidRPr="004B4ED8" w:rsidRDefault="004B4ED8" w:rsidP="004B4ED8">
      <w:pPr>
        <w:spacing w:after="40" w:line="240" w:lineRule="auto"/>
        <w:jc w:val="center"/>
        <w:rPr>
          <w:rFonts w:ascii="Times New Roman" w:eastAsia="Calibri" w:hAnsi="Times New Roman"/>
          <w:noProof/>
          <w:sz w:val="24"/>
          <w:szCs w:val="24"/>
          <w:lang w:val="en-US"/>
        </w:rPr>
      </w:pPr>
      <w:r w:rsidRPr="004B4ED8">
        <w:rPr>
          <w:rFonts w:ascii="Times New Roman" w:eastAsia="Calibri" w:hAnsi="Times New Roman"/>
          <w:noProof/>
          <w:sz w:val="24"/>
          <w:szCs w:val="24"/>
        </w:rPr>
        <w:t xml:space="preserve">Tabel </w:t>
      </w:r>
      <w:r w:rsidRPr="004B4ED8">
        <w:rPr>
          <w:rFonts w:ascii="Times New Roman" w:eastAsia="Calibri" w:hAnsi="Times New Roman"/>
          <w:noProof/>
          <w:sz w:val="24"/>
          <w:szCs w:val="24"/>
          <w:lang w:val="en-US"/>
        </w:rPr>
        <w:t xml:space="preserve">2 </w:t>
      </w:r>
      <w:r w:rsidRPr="004B4ED8">
        <w:rPr>
          <w:rFonts w:ascii="Times New Roman" w:eastAsia="Calibri" w:hAnsi="Times New Roman"/>
          <w:noProof/>
          <w:sz w:val="24"/>
          <w:szCs w:val="24"/>
        </w:rPr>
        <w:t>Persentase Ruang Kelas  Menurut Jenjang Pendidikan dan Kondisi 2018/2019</w:t>
      </w:r>
    </w:p>
    <w:tbl>
      <w:tblPr>
        <w:tblStyle w:val="GridTable1Light-Accent11"/>
        <w:tblW w:w="0" w:type="auto"/>
        <w:jc w:val="center"/>
        <w:tblLook w:val="04A0" w:firstRow="1" w:lastRow="0" w:firstColumn="1" w:lastColumn="0" w:noHBand="0" w:noVBand="1"/>
      </w:tblPr>
      <w:tblGrid>
        <w:gridCol w:w="1502"/>
        <w:gridCol w:w="1502"/>
        <w:gridCol w:w="1683"/>
        <w:gridCol w:w="1503"/>
      </w:tblGrid>
      <w:tr w:rsidR="004B4ED8" w:rsidRPr="004B4ED8" w14:paraId="612BA2DA" w14:textId="77777777" w:rsidTr="00AE2B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2" w:type="dxa"/>
            <w:vMerge w:val="restart"/>
          </w:tcPr>
          <w:p w14:paraId="48BD5290" w14:textId="77777777" w:rsidR="004B4ED8" w:rsidRPr="004B4ED8" w:rsidRDefault="004B4ED8" w:rsidP="004B4ED8">
            <w:pPr>
              <w:spacing w:after="0" w:line="240" w:lineRule="auto"/>
              <w:jc w:val="center"/>
              <w:rPr>
                <w:rFonts w:ascii="Times New Roman" w:hAnsi="Times New Roman"/>
                <w:noProof/>
                <w:sz w:val="24"/>
                <w:szCs w:val="24"/>
              </w:rPr>
            </w:pPr>
            <w:r w:rsidRPr="004B4ED8">
              <w:rPr>
                <w:rFonts w:ascii="Times New Roman" w:hAnsi="Times New Roman"/>
                <w:noProof/>
                <w:sz w:val="24"/>
                <w:szCs w:val="24"/>
              </w:rPr>
              <w:t>Jenjang Pendidikan</w:t>
            </w:r>
          </w:p>
        </w:tc>
        <w:tc>
          <w:tcPr>
            <w:tcW w:w="4688" w:type="dxa"/>
            <w:gridSpan w:val="3"/>
          </w:tcPr>
          <w:p w14:paraId="22153947" w14:textId="77777777" w:rsidR="004B4ED8" w:rsidRPr="004B4ED8" w:rsidRDefault="004B4ED8" w:rsidP="004B4E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Kondisi Ruang Kelas</w:t>
            </w:r>
          </w:p>
          <w:p w14:paraId="23431FE7" w14:textId="77777777" w:rsidR="004B4ED8" w:rsidRPr="004B4ED8" w:rsidRDefault="004B4ED8" w:rsidP="004B4E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p>
        </w:tc>
      </w:tr>
      <w:tr w:rsidR="004B4ED8" w:rsidRPr="004B4ED8" w14:paraId="6A6CF373" w14:textId="77777777" w:rsidTr="00AE2B20">
        <w:trPr>
          <w:jc w:val="center"/>
        </w:trPr>
        <w:tc>
          <w:tcPr>
            <w:cnfStyle w:val="001000000000" w:firstRow="0" w:lastRow="0" w:firstColumn="1" w:lastColumn="0" w:oddVBand="0" w:evenVBand="0" w:oddHBand="0" w:evenHBand="0" w:firstRowFirstColumn="0" w:firstRowLastColumn="0" w:lastRowFirstColumn="0" w:lastRowLastColumn="0"/>
            <w:tcW w:w="1502" w:type="dxa"/>
            <w:vMerge/>
          </w:tcPr>
          <w:p w14:paraId="62137F67" w14:textId="77777777" w:rsidR="004B4ED8" w:rsidRPr="004B4ED8" w:rsidRDefault="004B4ED8" w:rsidP="004B4ED8">
            <w:pPr>
              <w:spacing w:after="0" w:line="240" w:lineRule="auto"/>
              <w:jc w:val="center"/>
              <w:rPr>
                <w:rFonts w:ascii="Times New Roman" w:hAnsi="Times New Roman"/>
                <w:noProof/>
                <w:sz w:val="24"/>
                <w:szCs w:val="24"/>
              </w:rPr>
            </w:pPr>
          </w:p>
        </w:tc>
        <w:tc>
          <w:tcPr>
            <w:tcW w:w="1502" w:type="dxa"/>
          </w:tcPr>
          <w:p w14:paraId="210B7613"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Baik</w:t>
            </w:r>
          </w:p>
        </w:tc>
        <w:tc>
          <w:tcPr>
            <w:tcW w:w="1683" w:type="dxa"/>
          </w:tcPr>
          <w:p w14:paraId="4FBD80B5"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Rusak Ringan/Sedang</w:t>
            </w:r>
          </w:p>
        </w:tc>
        <w:tc>
          <w:tcPr>
            <w:tcW w:w="1503" w:type="dxa"/>
          </w:tcPr>
          <w:p w14:paraId="33FF765F"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Rusak Berat</w:t>
            </w:r>
          </w:p>
        </w:tc>
      </w:tr>
      <w:tr w:rsidR="004B4ED8" w:rsidRPr="004B4ED8" w14:paraId="60538B56" w14:textId="77777777" w:rsidTr="00AE2B20">
        <w:trPr>
          <w:jc w:val="center"/>
        </w:trPr>
        <w:tc>
          <w:tcPr>
            <w:cnfStyle w:val="001000000000" w:firstRow="0" w:lastRow="0" w:firstColumn="1" w:lastColumn="0" w:oddVBand="0" w:evenVBand="0" w:oddHBand="0" w:evenHBand="0" w:firstRowFirstColumn="0" w:firstRowLastColumn="0" w:lastRowFirstColumn="0" w:lastRowLastColumn="0"/>
            <w:tcW w:w="1502" w:type="dxa"/>
          </w:tcPr>
          <w:p w14:paraId="70C473EB" w14:textId="77777777" w:rsidR="004B4ED8" w:rsidRPr="004B4ED8" w:rsidRDefault="004B4ED8" w:rsidP="004B4ED8">
            <w:pPr>
              <w:spacing w:after="0" w:line="240" w:lineRule="auto"/>
              <w:jc w:val="center"/>
              <w:rPr>
                <w:rFonts w:ascii="Times New Roman" w:hAnsi="Times New Roman"/>
                <w:noProof/>
                <w:sz w:val="24"/>
                <w:szCs w:val="24"/>
              </w:rPr>
            </w:pPr>
            <w:r w:rsidRPr="004B4ED8">
              <w:rPr>
                <w:rFonts w:ascii="Times New Roman" w:hAnsi="Times New Roman"/>
                <w:noProof/>
                <w:sz w:val="24"/>
                <w:szCs w:val="24"/>
              </w:rPr>
              <w:t>SD</w:t>
            </w:r>
          </w:p>
        </w:tc>
        <w:tc>
          <w:tcPr>
            <w:tcW w:w="1502" w:type="dxa"/>
          </w:tcPr>
          <w:p w14:paraId="3B9FE2DA"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27.40%</w:t>
            </w:r>
          </w:p>
        </w:tc>
        <w:tc>
          <w:tcPr>
            <w:tcW w:w="1683" w:type="dxa"/>
          </w:tcPr>
          <w:p w14:paraId="7FCE8EFF"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63,92%</w:t>
            </w:r>
          </w:p>
        </w:tc>
        <w:tc>
          <w:tcPr>
            <w:tcW w:w="1503" w:type="dxa"/>
          </w:tcPr>
          <w:p w14:paraId="3250C99E"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8,68%</w:t>
            </w:r>
          </w:p>
        </w:tc>
      </w:tr>
      <w:tr w:rsidR="004B4ED8" w:rsidRPr="004B4ED8" w14:paraId="51679B10" w14:textId="77777777" w:rsidTr="00AE2B20">
        <w:trPr>
          <w:jc w:val="center"/>
        </w:trPr>
        <w:tc>
          <w:tcPr>
            <w:cnfStyle w:val="001000000000" w:firstRow="0" w:lastRow="0" w:firstColumn="1" w:lastColumn="0" w:oddVBand="0" w:evenVBand="0" w:oddHBand="0" w:evenHBand="0" w:firstRowFirstColumn="0" w:firstRowLastColumn="0" w:lastRowFirstColumn="0" w:lastRowLastColumn="0"/>
            <w:tcW w:w="1502" w:type="dxa"/>
          </w:tcPr>
          <w:p w14:paraId="00155363" w14:textId="77777777" w:rsidR="004B4ED8" w:rsidRPr="004B4ED8" w:rsidRDefault="004B4ED8" w:rsidP="004B4ED8">
            <w:pPr>
              <w:spacing w:after="0" w:line="240" w:lineRule="auto"/>
              <w:jc w:val="center"/>
              <w:rPr>
                <w:rFonts w:ascii="Times New Roman" w:hAnsi="Times New Roman"/>
                <w:noProof/>
                <w:sz w:val="24"/>
                <w:szCs w:val="24"/>
              </w:rPr>
            </w:pPr>
            <w:r w:rsidRPr="004B4ED8">
              <w:rPr>
                <w:rFonts w:ascii="Times New Roman" w:hAnsi="Times New Roman"/>
                <w:noProof/>
                <w:sz w:val="24"/>
                <w:szCs w:val="24"/>
              </w:rPr>
              <w:t>SMP</w:t>
            </w:r>
          </w:p>
        </w:tc>
        <w:tc>
          <w:tcPr>
            <w:tcW w:w="1502" w:type="dxa"/>
          </w:tcPr>
          <w:p w14:paraId="4D2CBB14"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31,28%</w:t>
            </w:r>
          </w:p>
        </w:tc>
        <w:tc>
          <w:tcPr>
            <w:tcW w:w="1683" w:type="dxa"/>
          </w:tcPr>
          <w:p w14:paraId="4811DE5C"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61,32%</w:t>
            </w:r>
          </w:p>
        </w:tc>
        <w:tc>
          <w:tcPr>
            <w:tcW w:w="1503" w:type="dxa"/>
          </w:tcPr>
          <w:p w14:paraId="708C4CB4"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7,4 %</w:t>
            </w:r>
          </w:p>
        </w:tc>
      </w:tr>
      <w:tr w:rsidR="004B4ED8" w:rsidRPr="004B4ED8" w14:paraId="369626E5" w14:textId="77777777" w:rsidTr="00AE2B20">
        <w:trPr>
          <w:jc w:val="center"/>
        </w:trPr>
        <w:tc>
          <w:tcPr>
            <w:cnfStyle w:val="001000000000" w:firstRow="0" w:lastRow="0" w:firstColumn="1" w:lastColumn="0" w:oddVBand="0" w:evenVBand="0" w:oddHBand="0" w:evenHBand="0" w:firstRowFirstColumn="0" w:firstRowLastColumn="0" w:lastRowFirstColumn="0" w:lastRowLastColumn="0"/>
            <w:tcW w:w="1502" w:type="dxa"/>
          </w:tcPr>
          <w:p w14:paraId="0EB49074" w14:textId="77777777" w:rsidR="004B4ED8" w:rsidRPr="004B4ED8" w:rsidRDefault="004B4ED8" w:rsidP="004B4ED8">
            <w:pPr>
              <w:spacing w:after="0" w:line="240" w:lineRule="auto"/>
              <w:jc w:val="center"/>
              <w:rPr>
                <w:rFonts w:ascii="Times New Roman" w:hAnsi="Times New Roman"/>
                <w:noProof/>
                <w:sz w:val="24"/>
                <w:szCs w:val="24"/>
              </w:rPr>
            </w:pPr>
            <w:r w:rsidRPr="004B4ED8">
              <w:rPr>
                <w:rFonts w:ascii="Times New Roman" w:hAnsi="Times New Roman"/>
                <w:noProof/>
                <w:sz w:val="24"/>
                <w:szCs w:val="24"/>
              </w:rPr>
              <w:t>SMA</w:t>
            </w:r>
          </w:p>
        </w:tc>
        <w:tc>
          <w:tcPr>
            <w:tcW w:w="1502" w:type="dxa"/>
          </w:tcPr>
          <w:p w14:paraId="40166B3C"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45,95%</w:t>
            </w:r>
          </w:p>
        </w:tc>
        <w:tc>
          <w:tcPr>
            <w:tcW w:w="1683" w:type="dxa"/>
          </w:tcPr>
          <w:p w14:paraId="371CC65F"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51,07%</w:t>
            </w:r>
          </w:p>
        </w:tc>
        <w:tc>
          <w:tcPr>
            <w:tcW w:w="1503" w:type="dxa"/>
          </w:tcPr>
          <w:p w14:paraId="65F301BA" w14:textId="77777777" w:rsidR="004B4ED8" w:rsidRPr="004B4ED8" w:rsidRDefault="004B4ED8" w:rsidP="004B4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4,67%</w:t>
            </w:r>
          </w:p>
        </w:tc>
      </w:tr>
    </w:tbl>
    <w:p w14:paraId="395EEF5E" w14:textId="77777777" w:rsidR="004B4ED8" w:rsidRPr="004B4ED8" w:rsidRDefault="004B4ED8" w:rsidP="004B4ED8">
      <w:pPr>
        <w:spacing w:after="40" w:line="480" w:lineRule="auto"/>
        <w:jc w:val="center"/>
        <w:rPr>
          <w:rFonts w:ascii="Times New Roman" w:eastAsia="Calibri" w:hAnsi="Times New Roman"/>
          <w:noProof/>
          <w:sz w:val="24"/>
          <w:szCs w:val="24"/>
          <w:lang w:val="en-US"/>
        </w:rPr>
      </w:pPr>
      <w:r w:rsidRPr="004B4ED8">
        <w:rPr>
          <w:rFonts w:ascii="Times New Roman" w:eastAsia="Calibri" w:hAnsi="Times New Roman"/>
          <w:noProof/>
          <w:sz w:val="24"/>
          <w:szCs w:val="24"/>
        </w:rPr>
        <w:t>Sumber: Kemendikbud</w:t>
      </w:r>
    </w:p>
    <w:p w14:paraId="0A11AA44"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rPr>
      </w:pPr>
      <w:r w:rsidRPr="004B4ED8">
        <w:rPr>
          <w:rFonts w:ascii="Times New Roman" w:eastAsia="Calibri" w:hAnsi="Times New Roman"/>
          <w:bCs/>
          <w:noProof/>
          <w:sz w:val="24"/>
          <w:lang w:val="en-US"/>
        </w:rPr>
        <w:t>Permasalahan ke-3 vokasi dan kemampuan kerja, permasalahan ini masih menjadi permasalahan bagi pendidikan di Indonesia khususnya dialami oleh para lulusan SMK, Permasalahan yang dihadapi SMK tersebut tidak bisa dilepaskan dari adanya kesenjangan kompetensi yang disebabkan oleh ketidaksesuaian antara supply dan demand tenaga kerja Industri pengolahan dan jasa pada tahun 2000 – 2015 untuk kompetensi tertentu. Ketidakseimbangan dalam bursa kerja menyebabkan menumpuknya lulusan program pendidikan pada</w:t>
      </w:r>
      <w:r w:rsidRPr="004B4ED8">
        <w:rPr>
          <w:rFonts w:ascii="Times New Roman" w:eastAsia="Calibri" w:hAnsi="Times New Roman"/>
          <w:bCs/>
          <w:noProof/>
          <w:sz w:val="24"/>
        </w:rPr>
        <w:t xml:space="preserve"> </w:t>
      </w:r>
      <w:r w:rsidRPr="004B4ED8">
        <w:rPr>
          <w:rFonts w:ascii="Times New Roman" w:eastAsia="Calibri" w:hAnsi="Times New Roman"/>
          <w:bCs/>
          <w:noProof/>
          <w:sz w:val="24"/>
          <w:lang w:val="en-US"/>
        </w:rPr>
        <w:t>tingkat tertentu, namun justru kekurangan pada segmen yang  lainnya.</w:t>
      </w:r>
      <w:r w:rsidRPr="004B4ED8">
        <w:rPr>
          <w:rFonts w:ascii="Times New Roman" w:eastAsia="Calibri" w:hAnsi="Times New Roman"/>
          <w:bCs/>
          <w:noProof/>
          <w:sz w:val="24"/>
        </w:rPr>
        <w:t xml:space="preserve"> Berikut datanya: </w:t>
      </w:r>
      <w:r w:rsidRPr="004B4ED8">
        <w:rPr>
          <w:rFonts w:ascii="Times New Roman" w:eastAsia="Calibri" w:hAnsi="Times New Roman"/>
          <w:bCs/>
          <w:noProof/>
          <w:color w:val="5B9BD5"/>
          <w:sz w:val="24"/>
        </w:rPr>
        <w:t>(Kemendikbud, 2018)</w:t>
      </w:r>
    </w:p>
    <w:p w14:paraId="62BDA042" w14:textId="77777777" w:rsidR="004B4ED8" w:rsidRPr="004B4ED8" w:rsidRDefault="004B4ED8" w:rsidP="004B4ED8">
      <w:pPr>
        <w:spacing w:after="40" w:line="240" w:lineRule="auto"/>
        <w:jc w:val="center"/>
        <w:rPr>
          <w:rFonts w:ascii="Times New Roman" w:eastAsia="Calibri" w:hAnsi="Times New Roman"/>
          <w:noProof/>
          <w:sz w:val="24"/>
          <w:szCs w:val="24"/>
        </w:rPr>
      </w:pPr>
      <w:r w:rsidRPr="004B4ED8">
        <w:rPr>
          <w:rFonts w:ascii="Times New Roman" w:eastAsia="Calibri" w:hAnsi="Times New Roman"/>
          <w:noProof/>
          <w:sz w:val="24"/>
          <w:szCs w:val="24"/>
        </w:rPr>
        <w:t>Tabel 3</w:t>
      </w:r>
      <w:r w:rsidRPr="004B4ED8">
        <w:rPr>
          <w:rFonts w:ascii="Times New Roman" w:eastAsia="Calibri" w:hAnsi="Times New Roman"/>
          <w:noProof/>
          <w:sz w:val="24"/>
          <w:szCs w:val="24"/>
          <w:lang w:val="en-US"/>
        </w:rPr>
        <w:t xml:space="preserve"> </w:t>
      </w:r>
      <w:r w:rsidRPr="004B4ED8">
        <w:rPr>
          <w:rFonts w:ascii="Times New Roman" w:eastAsia="Calibri" w:hAnsi="Times New Roman"/>
          <w:noProof/>
          <w:sz w:val="24"/>
          <w:szCs w:val="24"/>
        </w:rPr>
        <w:t>Kesenjangan Supply dan Demand Lulusan SMK dengan Peluang Kebutuhan Tenaga Kerja</w:t>
      </w:r>
    </w:p>
    <w:p w14:paraId="1FB9EE9A" w14:textId="77777777" w:rsidR="004B4ED8" w:rsidRPr="004B4ED8" w:rsidRDefault="004B4ED8" w:rsidP="004B4ED8">
      <w:pPr>
        <w:spacing w:after="160" w:line="240" w:lineRule="auto"/>
        <w:ind w:firstLine="851"/>
        <w:contextualSpacing/>
        <w:jc w:val="center"/>
        <w:rPr>
          <w:rFonts w:ascii="Times New Roman" w:eastAsia="Calibri" w:hAnsi="Times New Roman"/>
          <w:bCs/>
          <w:noProof/>
          <w:sz w:val="24"/>
        </w:rPr>
      </w:pPr>
    </w:p>
    <w:tbl>
      <w:tblPr>
        <w:tblStyle w:val="TableGrid1"/>
        <w:tblW w:w="0" w:type="auto"/>
        <w:jc w:val="center"/>
        <w:tblLook w:val="04A0" w:firstRow="1" w:lastRow="0" w:firstColumn="1" w:lastColumn="0" w:noHBand="0" w:noVBand="1"/>
      </w:tblPr>
      <w:tblGrid>
        <w:gridCol w:w="549"/>
        <w:gridCol w:w="2828"/>
        <w:gridCol w:w="1681"/>
        <w:gridCol w:w="1711"/>
        <w:gridCol w:w="1725"/>
      </w:tblGrid>
      <w:tr w:rsidR="004B4ED8" w:rsidRPr="004B4ED8" w14:paraId="44F0A441" w14:textId="77777777" w:rsidTr="00AE2B20">
        <w:trPr>
          <w:jc w:val="center"/>
        </w:trPr>
        <w:tc>
          <w:tcPr>
            <w:tcW w:w="562" w:type="dxa"/>
          </w:tcPr>
          <w:p w14:paraId="3B034FA1"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No</w:t>
            </w:r>
          </w:p>
        </w:tc>
        <w:tc>
          <w:tcPr>
            <w:tcW w:w="3044" w:type="dxa"/>
          </w:tcPr>
          <w:p w14:paraId="0912AA7C"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Bidang Keahlian</w:t>
            </w:r>
          </w:p>
        </w:tc>
        <w:tc>
          <w:tcPr>
            <w:tcW w:w="1803" w:type="dxa"/>
          </w:tcPr>
          <w:p w14:paraId="2C23061A"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Lulusan SMK 2016</w:t>
            </w:r>
          </w:p>
        </w:tc>
        <w:tc>
          <w:tcPr>
            <w:tcW w:w="1803" w:type="dxa"/>
          </w:tcPr>
          <w:p w14:paraId="56ADEFFB"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Peluang Kebutuhan Tenaga Kerja</w:t>
            </w:r>
          </w:p>
        </w:tc>
        <w:tc>
          <w:tcPr>
            <w:tcW w:w="1804" w:type="dxa"/>
          </w:tcPr>
          <w:p w14:paraId="69DC5689"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Kelebihan (+)/</w:t>
            </w:r>
            <w:r w:rsidRPr="004B4ED8">
              <w:rPr>
                <w:rFonts w:ascii="Times New Roman" w:hAnsi="Times New Roman"/>
                <w:noProof/>
                <w:sz w:val="20"/>
                <w:szCs w:val="20"/>
              </w:rPr>
              <w:br/>
              <w:t>Kekurangan (-)</w:t>
            </w:r>
          </w:p>
        </w:tc>
      </w:tr>
      <w:tr w:rsidR="004B4ED8" w:rsidRPr="004B4ED8" w14:paraId="50A0BBD6" w14:textId="77777777" w:rsidTr="00AE2B20">
        <w:trPr>
          <w:jc w:val="center"/>
        </w:trPr>
        <w:tc>
          <w:tcPr>
            <w:tcW w:w="562" w:type="dxa"/>
          </w:tcPr>
          <w:p w14:paraId="5EDA2D53"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1</w:t>
            </w:r>
          </w:p>
        </w:tc>
        <w:tc>
          <w:tcPr>
            <w:tcW w:w="3044" w:type="dxa"/>
          </w:tcPr>
          <w:p w14:paraId="7309AF94"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Teknologi dan Rekayasa</w:t>
            </w:r>
          </w:p>
        </w:tc>
        <w:tc>
          <w:tcPr>
            <w:tcW w:w="1803" w:type="dxa"/>
          </w:tcPr>
          <w:p w14:paraId="55A1A638"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441.561</w:t>
            </w:r>
          </w:p>
        </w:tc>
        <w:tc>
          <w:tcPr>
            <w:tcW w:w="1803" w:type="dxa"/>
          </w:tcPr>
          <w:p w14:paraId="35728A16"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611.644</w:t>
            </w:r>
          </w:p>
        </w:tc>
        <w:tc>
          <w:tcPr>
            <w:tcW w:w="1804" w:type="dxa"/>
          </w:tcPr>
          <w:p w14:paraId="06283C5F"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170,083</w:t>
            </w:r>
          </w:p>
        </w:tc>
      </w:tr>
      <w:tr w:rsidR="004B4ED8" w:rsidRPr="004B4ED8" w14:paraId="748A73A4" w14:textId="77777777" w:rsidTr="00AE2B20">
        <w:trPr>
          <w:jc w:val="center"/>
        </w:trPr>
        <w:tc>
          <w:tcPr>
            <w:tcW w:w="562" w:type="dxa"/>
          </w:tcPr>
          <w:p w14:paraId="4152EAD7"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2</w:t>
            </w:r>
          </w:p>
        </w:tc>
        <w:tc>
          <w:tcPr>
            <w:tcW w:w="3044" w:type="dxa"/>
          </w:tcPr>
          <w:p w14:paraId="25081BBD"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Energi dan Pertumbuhan</w:t>
            </w:r>
          </w:p>
        </w:tc>
        <w:tc>
          <w:tcPr>
            <w:tcW w:w="1803" w:type="dxa"/>
          </w:tcPr>
          <w:p w14:paraId="431CEF23"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3.486</w:t>
            </w:r>
          </w:p>
        </w:tc>
        <w:tc>
          <w:tcPr>
            <w:tcW w:w="1803" w:type="dxa"/>
          </w:tcPr>
          <w:p w14:paraId="480EE483"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27.008</w:t>
            </w:r>
          </w:p>
        </w:tc>
        <w:tc>
          <w:tcPr>
            <w:tcW w:w="1804" w:type="dxa"/>
          </w:tcPr>
          <w:p w14:paraId="7E614469"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23.522</w:t>
            </w:r>
          </w:p>
        </w:tc>
      </w:tr>
      <w:tr w:rsidR="004B4ED8" w:rsidRPr="004B4ED8" w14:paraId="4CC1C236" w14:textId="77777777" w:rsidTr="00AE2B20">
        <w:trPr>
          <w:jc w:val="center"/>
        </w:trPr>
        <w:tc>
          <w:tcPr>
            <w:tcW w:w="562" w:type="dxa"/>
          </w:tcPr>
          <w:p w14:paraId="7E835263"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w:t>
            </w:r>
          </w:p>
        </w:tc>
        <w:tc>
          <w:tcPr>
            <w:tcW w:w="3044" w:type="dxa"/>
          </w:tcPr>
          <w:p w14:paraId="0EFC8AE4"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Teknologi Informasi dan Komunikasi</w:t>
            </w:r>
          </w:p>
        </w:tc>
        <w:tc>
          <w:tcPr>
            <w:tcW w:w="1803" w:type="dxa"/>
          </w:tcPr>
          <w:p w14:paraId="0969081A"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277.545</w:t>
            </w:r>
          </w:p>
        </w:tc>
        <w:tc>
          <w:tcPr>
            <w:tcW w:w="1803" w:type="dxa"/>
          </w:tcPr>
          <w:p w14:paraId="1D68748F"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327.813</w:t>
            </w:r>
          </w:p>
        </w:tc>
        <w:tc>
          <w:tcPr>
            <w:tcW w:w="1804" w:type="dxa"/>
          </w:tcPr>
          <w:p w14:paraId="4B4C64BF"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50.268</w:t>
            </w:r>
          </w:p>
        </w:tc>
      </w:tr>
      <w:tr w:rsidR="004B4ED8" w:rsidRPr="004B4ED8" w14:paraId="4BB6DC34" w14:textId="77777777" w:rsidTr="00AE2B20">
        <w:trPr>
          <w:jc w:val="center"/>
        </w:trPr>
        <w:tc>
          <w:tcPr>
            <w:tcW w:w="562" w:type="dxa"/>
          </w:tcPr>
          <w:p w14:paraId="40446EC1"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4</w:t>
            </w:r>
          </w:p>
        </w:tc>
        <w:tc>
          <w:tcPr>
            <w:tcW w:w="3044" w:type="dxa"/>
          </w:tcPr>
          <w:p w14:paraId="1C59B37D"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Kesehatan dan Pekerjaan Sosial</w:t>
            </w:r>
          </w:p>
        </w:tc>
        <w:tc>
          <w:tcPr>
            <w:tcW w:w="1803" w:type="dxa"/>
          </w:tcPr>
          <w:p w14:paraId="38477FED"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60.944</w:t>
            </w:r>
          </w:p>
        </w:tc>
        <w:tc>
          <w:tcPr>
            <w:tcW w:w="1803" w:type="dxa"/>
          </w:tcPr>
          <w:p w14:paraId="2A0385CF"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68.245</w:t>
            </w:r>
          </w:p>
        </w:tc>
        <w:tc>
          <w:tcPr>
            <w:tcW w:w="1804" w:type="dxa"/>
          </w:tcPr>
          <w:p w14:paraId="64312074"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7.301</w:t>
            </w:r>
          </w:p>
        </w:tc>
      </w:tr>
      <w:tr w:rsidR="004B4ED8" w:rsidRPr="004B4ED8" w14:paraId="620FB438" w14:textId="77777777" w:rsidTr="00AE2B20">
        <w:trPr>
          <w:jc w:val="center"/>
        </w:trPr>
        <w:tc>
          <w:tcPr>
            <w:tcW w:w="562" w:type="dxa"/>
          </w:tcPr>
          <w:p w14:paraId="412A9D78"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5</w:t>
            </w:r>
          </w:p>
        </w:tc>
        <w:tc>
          <w:tcPr>
            <w:tcW w:w="3044" w:type="dxa"/>
          </w:tcPr>
          <w:p w14:paraId="1AE7D19F"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Agribisnis dan Argoteknologi</w:t>
            </w:r>
          </w:p>
        </w:tc>
        <w:tc>
          <w:tcPr>
            <w:tcW w:w="1803" w:type="dxa"/>
          </w:tcPr>
          <w:p w14:paraId="4A61901C"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53.319</w:t>
            </w:r>
          </w:p>
        </w:tc>
        <w:tc>
          <w:tcPr>
            <w:tcW w:w="1803" w:type="dxa"/>
          </w:tcPr>
          <w:p w14:paraId="1BE269BA"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445.792</w:t>
            </w:r>
          </w:p>
        </w:tc>
        <w:tc>
          <w:tcPr>
            <w:tcW w:w="1804" w:type="dxa"/>
          </w:tcPr>
          <w:p w14:paraId="57FEB918"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393.473</w:t>
            </w:r>
          </w:p>
        </w:tc>
      </w:tr>
      <w:tr w:rsidR="004B4ED8" w:rsidRPr="004B4ED8" w14:paraId="27C5B927" w14:textId="77777777" w:rsidTr="00AE2B20">
        <w:trPr>
          <w:jc w:val="center"/>
        </w:trPr>
        <w:tc>
          <w:tcPr>
            <w:tcW w:w="562" w:type="dxa"/>
          </w:tcPr>
          <w:p w14:paraId="0F81B4C5"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6</w:t>
            </w:r>
          </w:p>
        </w:tc>
        <w:tc>
          <w:tcPr>
            <w:tcW w:w="3044" w:type="dxa"/>
          </w:tcPr>
          <w:p w14:paraId="7E0096AB"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Kemaritiman</w:t>
            </w:r>
          </w:p>
        </w:tc>
        <w:tc>
          <w:tcPr>
            <w:tcW w:w="1803" w:type="dxa"/>
          </w:tcPr>
          <w:p w14:paraId="77A12BA8"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17.249</w:t>
            </w:r>
          </w:p>
        </w:tc>
        <w:tc>
          <w:tcPr>
            <w:tcW w:w="1803" w:type="dxa"/>
          </w:tcPr>
          <w:p w14:paraId="7D14D0E0"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3.364.297</w:t>
            </w:r>
          </w:p>
        </w:tc>
        <w:tc>
          <w:tcPr>
            <w:tcW w:w="1804" w:type="dxa"/>
          </w:tcPr>
          <w:p w14:paraId="229E2387"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3.3470.048</w:t>
            </w:r>
          </w:p>
        </w:tc>
      </w:tr>
      <w:tr w:rsidR="004B4ED8" w:rsidRPr="004B4ED8" w14:paraId="727EBE7B" w14:textId="77777777" w:rsidTr="00AE2B20">
        <w:trPr>
          <w:jc w:val="center"/>
        </w:trPr>
        <w:tc>
          <w:tcPr>
            <w:tcW w:w="562" w:type="dxa"/>
          </w:tcPr>
          <w:p w14:paraId="675CCF1A"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lastRenderedPageBreak/>
              <w:t>7</w:t>
            </w:r>
          </w:p>
        </w:tc>
        <w:tc>
          <w:tcPr>
            <w:tcW w:w="3044" w:type="dxa"/>
          </w:tcPr>
          <w:p w14:paraId="6E8212A7"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Bisnis dan Manajemen</w:t>
            </w:r>
          </w:p>
        </w:tc>
        <w:tc>
          <w:tcPr>
            <w:tcW w:w="1803" w:type="dxa"/>
          </w:tcPr>
          <w:p w14:paraId="0F127453"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348.954</w:t>
            </w:r>
          </w:p>
        </w:tc>
        <w:tc>
          <w:tcPr>
            <w:tcW w:w="1803" w:type="dxa"/>
          </w:tcPr>
          <w:p w14:paraId="52055E1B"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119.255</w:t>
            </w:r>
          </w:p>
        </w:tc>
        <w:tc>
          <w:tcPr>
            <w:tcW w:w="1804" w:type="dxa"/>
          </w:tcPr>
          <w:p w14:paraId="32F8165D"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-229.699</w:t>
            </w:r>
          </w:p>
        </w:tc>
      </w:tr>
      <w:tr w:rsidR="004B4ED8" w:rsidRPr="004B4ED8" w14:paraId="6AA2F406" w14:textId="77777777" w:rsidTr="00AE2B20">
        <w:trPr>
          <w:jc w:val="center"/>
        </w:trPr>
        <w:tc>
          <w:tcPr>
            <w:tcW w:w="562" w:type="dxa"/>
          </w:tcPr>
          <w:p w14:paraId="035E6694"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8</w:t>
            </w:r>
          </w:p>
        </w:tc>
        <w:tc>
          <w:tcPr>
            <w:tcW w:w="3044" w:type="dxa"/>
          </w:tcPr>
          <w:p w14:paraId="5791F2D6"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Pariwisata</w:t>
            </w:r>
          </w:p>
        </w:tc>
        <w:tc>
          <w:tcPr>
            <w:tcW w:w="1803" w:type="dxa"/>
          </w:tcPr>
          <w:p w14:paraId="151DE8FE"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82.171</w:t>
            </w:r>
          </w:p>
        </w:tc>
        <w:tc>
          <w:tcPr>
            <w:tcW w:w="1803" w:type="dxa"/>
          </w:tcPr>
          <w:p w14:paraId="3780054E"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707.600</w:t>
            </w:r>
          </w:p>
        </w:tc>
        <w:tc>
          <w:tcPr>
            <w:tcW w:w="1804" w:type="dxa"/>
          </w:tcPr>
          <w:p w14:paraId="4558618B"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625.429</w:t>
            </w:r>
          </w:p>
        </w:tc>
      </w:tr>
      <w:tr w:rsidR="004B4ED8" w:rsidRPr="004B4ED8" w14:paraId="0606F591" w14:textId="77777777" w:rsidTr="00AE2B20">
        <w:trPr>
          <w:jc w:val="center"/>
        </w:trPr>
        <w:tc>
          <w:tcPr>
            <w:tcW w:w="562" w:type="dxa"/>
          </w:tcPr>
          <w:p w14:paraId="087884EA"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9</w:t>
            </w:r>
          </w:p>
        </w:tc>
        <w:tc>
          <w:tcPr>
            <w:tcW w:w="3044" w:type="dxa"/>
          </w:tcPr>
          <w:p w14:paraId="128FCCB8"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Seni dan Industri Kreatif</w:t>
            </w:r>
          </w:p>
        </w:tc>
        <w:tc>
          <w:tcPr>
            <w:tcW w:w="1803" w:type="dxa"/>
          </w:tcPr>
          <w:p w14:paraId="31AD5BCD"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12.017</w:t>
            </w:r>
          </w:p>
        </w:tc>
        <w:tc>
          <w:tcPr>
            <w:tcW w:w="1803" w:type="dxa"/>
          </w:tcPr>
          <w:p w14:paraId="62A7A0B6"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88.133</w:t>
            </w:r>
          </w:p>
        </w:tc>
        <w:tc>
          <w:tcPr>
            <w:tcW w:w="1804" w:type="dxa"/>
          </w:tcPr>
          <w:p w14:paraId="53CD4CC5" w14:textId="77777777" w:rsidR="004B4ED8" w:rsidRPr="004B4ED8" w:rsidRDefault="004B4ED8" w:rsidP="004B4ED8">
            <w:pPr>
              <w:spacing w:after="0" w:line="240" w:lineRule="auto"/>
              <w:rPr>
                <w:rFonts w:ascii="Times New Roman" w:hAnsi="Times New Roman"/>
                <w:noProof/>
                <w:sz w:val="20"/>
                <w:szCs w:val="20"/>
              </w:rPr>
            </w:pPr>
            <w:r w:rsidRPr="004B4ED8">
              <w:rPr>
                <w:rFonts w:ascii="Times New Roman" w:hAnsi="Times New Roman"/>
                <w:noProof/>
                <w:sz w:val="20"/>
                <w:szCs w:val="20"/>
              </w:rPr>
              <w:t>76.116</w:t>
            </w:r>
          </w:p>
        </w:tc>
      </w:tr>
    </w:tbl>
    <w:p w14:paraId="5407608A" w14:textId="77777777" w:rsidR="004B4ED8" w:rsidRPr="004B4ED8" w:rsidRDefault="004B4ED8" w:rsidP="004B4ED8">
      <w:pPr>
        <w:spacing w:after="160" w:line="240" w:lineRule="auto"/>
        <w:contextualSpacing/>
        <w:jc w:val="center"/>
        <w:rPr>
          <w:rFonts w:ascii="Times New Roman" w:eastAsia="Calibri" w:hAnsi="Times New Roman"/>
          <w:bCs/>
          <w:noProof/>
          <w:sz w:val="24"/>
        </w:rPr>
      </w:pPr>
      <w:r w:rsidRPr="004B4ED8">
        <w:rPr>
          <w:rFonts w:ascii="Times New Roman" w:eastAsia="Calibri" w:hAnsi="Times New Roman"/>
          <w:bCs/>
          <w:noProof/>
          <w:sz w:val="24"/>
        </w:rPr>
        <w:t>Sumber: Kemendikbud</w:t>
      </w:r>
    </w:p>
    <w:p w14:paraId="3A0F760F" w14:textId="77777777" w:rsidR="004B4ED8" w:rsidRPr="004B4ED8" w:rsidRDefault="004B4ED8" w:rsidP="004B4ED8">
      <w:pPr>
        <w:spacing w:after="160" w:line="240" w:lineRule="auto"/>
        <w:ind w:firstLine="851"/>
        <w:contextualSpacing/>
        <w:jc w:val="center"/>
        <w:rPr>
          <w:rFonts w:ascii="Times New Roman" w:eastAsia="Calibri" w:hAnsi="Times New Roman"/>
          <w:bCs/>
          <w:noProof/>
          <w:sz w:val="24"/>
        </w:rPr>
      </w:pPr>
    </w:p>
    <w:p w14:paraId="70A8B84C" w14:textId="195333CF" w:rsidR="00640220" w:rsidRPr="004B4ED8" w:rsidRDefault="004B4ED8" w:rsidP="006E1F24">
      <w:pPr>
        <w:spacing w:after="40" w:line="240" w:lineRule="auto"/>
        <w:ind w:firstLine="851"/>
        <w:jc w:val="both"/>
        <w:rPr>
          <w:rFonts w:ascii="Times New Roman" w:eastAsia="Calibri" w:hAnsi="Times New Roman"/>
          <w:noProof/>
          <w:sz w:val="24"/>
          <w:szCs w:val="24"/>
        </w:rPr>
      </w:pPr>
      <w:r w:rsidRPr="004B4ED8">
        <w:rPr>
          <w:rFonts w:ascii="Times New Roman" w:eastAsia="Calibri" w:hAnsi="Times New Roman"/>
          <w:noProof/>
          <w:sz w:val="24"/>
          <w:szCs w:val="24"/>
        </w:rPr>
        <w:t>Uraian permasalahan-permasalahan pendidikan tersebut menunjukkan bahwa Indonesia harus memperbaiki kualitas pendidikannya agar sesuai dengan target dari SDGs ke-4, di mana Indonesia harus menjamin kualitas pendidikan yang inklusif dan merata serta meningkatkan kesempatan belajar terutama bagi anak-anak di Indonesia. Sehingga Indonesia dapat menciptakan SDM-SDM berkualitas yang mampu bersaing, baik secara regional maupun global.</w:t>
      </w:r>
    </w:p>
    <w:p w14:paraId="26D48DE5" w14:textId="40227EF5" w:rsidR="006F7D90" w:rsidRPr="00781254" w:rsidRDefault="006F7D90" w:rsidP="006F7D90">
      <w:pPr>
        <w:spacing w:line="240" w:lineRule="auto"/>
        <w:contextualSpacing/>
        <w:jc w:val="both"/>
        <w:rPr>
          <w:rFonts w:ascii="Times New Roman" w:hAnsi="Times New Roman"/>
          <w:b/>
          <w:sz w:val="24"/>
        </w:rPr>
      </w:pPr>
      <w:r w:rsidRPr="00781254">
        <w:rPr>
          <w:rFonts w:ascii="Times New Roman" w:hAnsi="Times New Roman"/>
          <w:b/>
          <w:sz w:val="24"/>
        </w:rPr>
        <w:t>Landasan Teori</w:t>
      </w:r>
      <w:r w:rsidR="004B4ED8">
        <w:rPr>
          <w:rFonts w:ascii="Times New Roman" w:hAnsi="Times New Roman"/>
          <w:b/>
          <w:sz w:val="24"/>
        </w:rPr>
        <w:t>/Konsep</w:t>
      </w:r>
    </w:p>
    <w:p w14:paraId="435440BD" w14:textId="4235A65A" w:rsidR="006F7D90" w:rsidRDefault="004B4ED8" w:rsidP="006F7D90">
      <w:pPr>
        <w:spacing w:line="240" w:lineRule="auto"/>
        <w:contextualSpacing/>
        <w:jc w:val="both"/>
        <w:rPr>
          <w:rFonts w:ascii="Times New Roman" w:hAnsi="Times New Roman"/>
          <w:bCs/>
          <w:sz w:val="24"/>
        </w:rPr>
      </w:pPr>
      <w:r w:rsidRPr="004B4ED8">
        <w:rPr>
          <w:rFonts w:ascii="Times New Roman" w:hAnsi="Times New Roman"/>
          <w:b/>
          <w:sz w:val="24"/>
        </w:rPr>
        <w:t>Konsep Kebijakan Pembangunan Berkelanjutan</w:t>
      </w:r>
    </w:p>
    <w:p w14:paraId="180A2DFA" w14:textId="77777777" w:rsidR="004B4ED8" w:rsidRPr="004B4ED8" w:rsidRDefault="004B4ED8" w:rsidP="004B4ED8">
      <w:pPr>
        <w:spacing w:after="0" w:line="240" w:lineRule="auto"/>
        <w:ind w:firstLine="851"/>
        <w:contextualSpacing/>
        <w:jc w:val="both"/>
        <w:rPr>
          <w:rFonts w:ascii="Times New Roman" w:eastAsia="Calibri" w:hAnsi="Times New Roman"/>
          <w:noProof/>
          <w:color w:val="5B9BD5"/>
          <w:sz w:val="24"/>
        </w:rPr>
      </w:pPr>
      <w:r w:rsidRPr="004B4ED8">
        <w:rPr>
          <w:rFonts w:ascii="Times New Roman" w:eastAsia="Calibri" w:hAnsi="Times New Roman"/>
          <w:noProof/>
          <w:sz w:val="24"/>
        </w:rPr>
        <w:t xml:space="preserve">Masalah-masalah biasa terjadi dan mengharuskan pemerintah untuk membuat suatu kebijakan untuk mengatur hal tersebut, adapun masalah publik tentu melibatkan banyak orang dan juga kelompok tertentu. </w:t>
      </w:r>
      <w:r w:rsidRPr="004B4ED8">
        <w:rPr>
          <w:rFonts w:ascii="Times New Roman" w:eastAsia="Calibri" w:hAnsi="Times New Roman"/>
          <w:noProof/>
          <w:color w:val="5B9BD5"/>
          <w:sz w:val="24"/>
        </w:rPr>
        <w:t>(Winarno, 2007).</w:t>
      </w:r>
    </w:p>
    <w:p w14:paraId="59927D3A" w14:textId="0F09DEBC" w:rsidR="004B4ED8" w:rsidRPr="004B4ED8" w:rsidRDefault="004B4ED8" w:rsidP="004B4ED8">
      <w:pPr>
        <w:spacing w:after="0" w:line="240" w:lineRule="auto"/>
        <w:ind w:firstLine="851"/>
        <w:contextualSpacing/>
        <w:jc w:val="both"/>
        <w:rPr>
          <w:rFonts w:ascii="Times New Roman" w:eastAsia="Calibri" w:hAnsi="Times New Roman"/>
          <w:noProof/>
          <w:sz w:val="24"/>
        </w:rPr>
      </w:pPr>
      <w:r w:rsidRPr="007C1FD4">
        <w:rPr>
          <w:rFonts w:ascii="Times New Roman" w:eastAsia="Calibri" w:hAnsi="Times New Roman"/>
          <w:noProof/>
          <w:sz w:val="24"/>
          <w:szCs w:val="24"/>
        </w:rPr>
        <w:t>Menurut pandangan James Anderson kebijakan adalah suatu tindakan yang mempunyai tujuan yang dilakukan seseorang pelaku atau sejumlah pekaku untuk memecahkan suatu masalah</w:t>
      </w:r>
      <w:r w:rsidRPr="004B4ED8">
        <w:rPr>
          <w:rFonts w:ascii="Times New Roman" w:eastAsia="Calibri" w:hAnsi="Times New Roman"/>
          <w:noProof/>
          <w:sz w:val="24"/>
          <w:szCs w:val="24"/>
        </w:rPr>
        <w:t xml:space="preserve"> </w:t>
      </w:r>
      <w:r w:rsidRPr="004B4ED8">
        <w:rPr>
          <w:rFonts w:ascii="Times New Roman" w:eastAsia="Calibri" w:hAnsi="Times New Roman"/>
          <w:noProof/>
          <w:color w:val="5B9BD5"/>
          <w:sz w:val="24"/>
          <w:szCs w:val="24"/>
        </w:rPr>
        <w:t xml:space="preserve">(Parson, 2006). </w:t>
      </w:r>
      <w:r w:rsidRPr="007C1FD4">
        <w:rPr>
          <w:rFonts w:ascii="Times New Roman" w:eastAsia="Calibri" w:hAnsi="Times New Roman"/>
          <w:noProof/>
          <w:sz w:val="24"/>
          <w:szCs w:val="24"/>
        </w:rPr>
        <w:t xml:space="preserve">Pandangan lainnya dari Woll, mengatakan bahwa kebijakan publik adalah sejumlah aktivitas pemerintah untuk menyelesaikan masalah dii masyarakat baik secara langsung maupun melalui lembaga yang mempengarui masyarakat. Menurut Woll, dalam pelaksanaan kebijakan publik terdapat tiga hal yang berpengaruh sebagai implikasi dari tindakan pemerintah. Pertama, kebijakan yang dibuat oleh pemerintah untuk kehidupan masyarakat. Kedua, adanya output dalam bentuk program untuk masyarakat. Ketiga, adanya dampak kebijakan untuk </w:t>
      </w:r>
      <w:r w:rsidRPr="004B4ED8">
        <w:rPr>
          <w:rFonts w:ascii="Times New Roman" w:eastAsia="Calibri" w:hAnsi="Times New Roman"/>
          <w:noProof/>
          <w:sz w:val="24"/>
          <w:szCs w:val="24"/>
        </w:rPr>
        <w:t>kehidupan</w:t>
      </w:r>
      <w:r w:rsidRPr="004B4ED8">
        <w:rPr>
          <w:rFonts w:ascii="Times New Roman" w:eastAsia="Calibri" w:hAnsi="Times New Roman"/>
          <w:noProof/>
          <w:color w:val="FFFFFF"/>
          <w:sz w:val="24"/>
          <w:szCs w:val="24"/>
        </w:rPr>
        <w:t xml:space="preserve"> </w:t>
      </w:r>
      <w:r w:rsidRPr="004B4ED8">
        <w:rPr>
          <w:rFonts w:ascii="Times New Roman" w:eastAsia="Calibri" w:hAnsi="Times New Roman"/>
          <w:noProof/>
          <w:sz w:val="24"/>
          <w:szCs w:val="24"/>
        </w:rPr>
        <w:t xml:space="preserve">masyarakat </w:t>
      </w:r>
      <w:r w:rsidRPr="004B4ED8">
        <w:rPr>
          <w:rFonts w:ascii="Times New Roman" w:eastAsia="Calibri" w:hAnsi="Times New Roman"/>
          <w:noProof/>
          <w:color w:val="5B9BD5"/>
          <w:sz w:val="24"/>
          <w:szCs w:val="24"/>
        </w:rPr>
        <w:t>(Tangklisan, 2003)</w:t>
      </w:r>
    </w:p>
    <w:p w14:paraId="63DAF6C1" w14:textId="77777777" w:rsidR="004B4ED8" w:rsidRPr="004B4ED8" w:rsidRDefault="004B4ED8" w:rsidP="00527E71">
      <w:pPr>
        <w:spacing w:after="0" w:line="240" w:lineRule="auto"/>
        <w:ind w:firstLine="851"/>
        <w:jc w:val="both"/>
        <w:rPr>
          <w:rFonts w:ascii="Times New Roman" w:eastAsia="Calibri" w:hAnsi="Times New Roman"/>
          <w:noProof/>
          <w:sz w:val="24"/>
          <w:szCs w:val="24"/>
        </w:rPr>
      </w:pPr>
      <w:r w:rsidRPr="007C1FD4">
        <w:rPr>
          <w:rFonts w:ascii="Times New Roman" w:eastAsia="Calibri" w:hAnsi="Times New Roman"/>
          <w:noProof/>
          <w:sz w:val="24"/>
          <w:szCs w:val="24"/>
        </w:rPr>
        <w:t>Pembangunan berkelanjutan sendiri merupakan pembangunan yang tidak hanya berkepentingan untuk memenuhi kebutuhan dan bermanfaat bagi perkembangan masa sekarang namun juga harus memenuhi kebutuhan manusia dimasa mendatang. Definisi WCED (</w:t>
      </w:r>
      <w:r w:rsidRPr="007C1FD4">
        <w:rPr>
          <w:rFonts w:ascii="Times New Roman" w:eastAsia="Calibri" w:hAnsi="Times New Roman"/>
          <w:i/>
          <w:iCs/>
          <w:noProof/>
          <w:sz w:val="24"/>
          <w:szCs w:val="24"/>
        </w:rPr>
        <w:t>World Commission on Environment and Development</w:t>
      </w:r>
      <w:r w:rsidRPr="007C1FD4">
        <w:rPr>
          <w:rFonts w:ascii="Times New Roman" w:eastAsia="Calibri" w:hAnsi="Times New Roman"/>
          <w:noProof/>
          <w:sz w:val="24"/>
          <w:szCs w:val="24"/>
        </w:rPr>
        <w:t>), pembangunan berkelanjutan bertujuan untuk meningkatkan kesejahteraan masyarakat dengan cara memenuhi kebutuhan manusia.</w:t>
      </w:r>
      <w:r w:rsidRPr="007C1FD4">
        <w:rPr>
          <w:rFonts w:ascii="Times New Roman" w:eastAsia="Calibri" w:hAnsi="Times New Roman"/>
          <w:noProof/>
          <w:sz w:val="24"/>
          <w:szCs w:val="24"/>
          <w:lang w:val="en-US"/>
        </w:rPr>
        <w:t xml:space="preserve"> </w:t>
      </w:r>
      <w:r w:rsidRPr="007C1FD4">
        <w:rPr>
          <w:rFonts w:ascii="Times New Roman" w:eastAsia="Calibri" w:hAnsi="Times New Roman"/>
          <w:noProof/>
          <w:sz w:val="24"/>
          <w:szCs w:val="24"/>
        </w:rPr>
        <w:t xml:space="preserve">Dengan demikian, pembangunan berkelanjutan merupakan sebuah konsep yang ingin menyelaraskan pertumbuhan dan peningkatan kualitas hidup manusia, yang di dalamnya termasuk sosial dan ekonomi, dengan </w:t>
      </w:r>
      <w:r w:rsidRPr="004B4ED8">
        <w:rPr>
          <w:rFonts w:ascii="Times New Roman" w:eastAsia="Calibri" w:hAnsi="Times New Roman"/>
          <w:noProof/>
          <w:sz w:val="24"/>
          <w:szCs w:val="24"/>
        </w:rPr>
        <w:t xml:space="preserve">pemeliharaan ekosistem lingkungan </w:t>
      </w:r>
      <w:r w:rsidRPr="004B4ED8">
        <w:rPr>
          <w:rFonts w:ascii="Times New Roman" w:eastAsia="Calibri" w:hAnsi="Times New Roman"/>
          <w:noProof/>
          <w:color w:val="5B9BD5"/>
          <w:sz w:val="24"/>
          <w:szCs w:val="24"/>
        </w:rPr>
        <w:t>(M. Fani Cahyandito, 2006)</w:t>
      </w:r>
    </w:p>
    <w:p w14:paraId="5C4440BE" w14:textId="08B278E3" w:rsidR="00640220" w:rsidRDefault="004B4ED8" w:rsidP="00527E71">
      <w:pPr>
        <w:spacing w:after="0" w:line="240" w:lineRule="auto"/>
        <w:ind w:firstLine="851"/>
        <w:jc w:val="both"/>
        <w:rPr>
          <w:rFonts w:ascii="Times New Roman" w:eastAsia="Calibri" w:hAnsi="Times New Roman"/>
          <w:noProof/>
          <w:sz w:val="24"/>
          <w:szCs w:val="24"/>
        </w:rPr>
      </w:pPr>
      <w:r w:rsidRPr="004B4ED8">
        <w:rPr>
          <w:rFonts w:ascii="Times New Roman" w:eastAsia="Calibri" w:hAnsi="Times New Roman"/>
          <w:noProof/>
          <w:sz w:val="24"/>
          <w:szCs w:val="24"/>
        </w:rPr>
        <w:t>Dari konsep di atas dapat disimpulkan bahwa kebijakan pembangunan berkelanjutan adalah sebuah upaya dari seorang atau banyak aktor untuk menyelesaikan suatu masalah yang dihadapi dengan tidak mengabaikan prinsip berkelanjutan dimana mampu menyelesaikan permasalahan terkait peningkatan kualitas hidup manusia dalam bidang sosial, ekonomi, dan lingkungan masa sekarang dan bermanfaat bagi masa depan</w:t>
      </w:r>
      <w:r w:rsidR="007C1FD4">
        <w:rPr>
          <w:rFonts w:ascii="Times New Roman" w:eastAsia="Calibri" w:hAnsi="Times New Roman"/>
          <w:noProof/>
          <w:sz w:val="24"/>
          <w:szCs w:val="24"/>
        </w:rPr>
        <w:t>.</w:t>
      </w:r>
    </w:p>
    <w:p w14:paraId="7352C39C" w14:textId="77777777" w:rsidR="004B4ED8" w:rsidRPr="00DB257A" w:rsidRDefault="004B4ED8" w:rsidP="004B4ED8">
      <w:pPr>
        <w:spacing w:after="0" w:line="240" w:lineRule="auto"/>
        <w:jc w:val="both"/>
        <w:rPr>
          <w:rFonts w:ascii="Times New Roman" w:hAnsi="Times New Roman"/>
          <w:b/>
          <w:bCs/>
          <w:sz w:val="24"/>
        </w:rPr>
      </w:pPr>
      <w:r w:rsidRPr="00F606B8">
        <w:rPr>
          <w:rFonts w:ascii="Times New Roman" w:hAnsi="Times New Roman"/>
          <w:b/>
          <w:bCs/>
          <w:sz w:val="24"/>
        </w:rPr>
        <w:t>Konsep Kualitas Pendidikan</w:t>
      </w:r>
    </w:p>
    <w:p w14:paraId="492733D4" w14:textId="77777777" w:rsidR="004B4ED8" w:rsidRPr="00F606B8" w:rsidRDefault="004B4ED8" w:rsidP="004B4ED8">
      <w:pPr>
        <w:spacing w:line="240" w:lineRule="auto"/>
        <w:ind w:firstLine="851"/>
        <w:contextualSpacing/>
        <w:jc w:val="both"/>
        <w:rPr>
          <w:rFonts w:ascii="Times New Roman" w:hAnsi="Times New Roman"/>
          <w:color w:val="000000" w:themeColor="text1"/>
          <w:sz w:val="24"/>
        </w:rPr>
      </w:pPr>
      <w:r w:rsidRPr="007C1FD4">
        <w:rPr>
          <w:rFonts w:ascii="Times New Roman" w:hAnsi="Times New Roman"/>
          <w:sz w:val="24"/>
        </w:rPr>
        <w:t xml:space="preserve">Mutu/kualitas pendidikan menurut pandangan Aminatul Zahroh adalah kompetensi atau kemampuan suatu lembaga pendidikan untuk memaksimalkan serta mengatur sumber daya pendidikan yang digunakan dalam meningkatkan kemampuan belajar peserta didik/siswa secara optimal </w:t>
      </w:r>
      <w:r w:rsidRPr="00F606B8">
        <w:rPr>
          <w:rFonts w:ascii="Times New Roman" w:hAnsi="Times New Roman"/>
          <w:color w:val="5B9BD5" w:themeColor="accent5"/>
          <w:sz w:val="24"/>
        </w:rPr>
        <w:t>(Zahroh</w:t>
      </w:r>
      <w:r>
        <w:rPr>
          <w:rFonts w:ascii="Times New Roman" w:hAnsi="Times New Roman"/>
          <w:color w:val="5B9BD5" w:themeColor="accent5"/>
          <w:sz w:val="24"/>
        </w:rPr>
        <w:t>,</w:t>
      </w:r>
      <w:r w:rsidRPr="00F606B8">
        <w:rPr>
          <w:rFonts w:ascii="Times New Roman" w:hAnsi="Times New Roman"/>
          <w:color w:val="5B9BD5" w:themeColor="accent5"/>
          <w:sz w:val="24"/>
        </w:rPr>
        <w:t xml:space="preserve"> 2014)</w:t>
      </w:r>
      <w:r w:rsidRPr="00F606B8">
        <w:rPr>
          <w:rFonts w:ascii="Times New Roman" w:hAnsi="Times New Roman"/>
          <w:color w:val="000000" w:themeColor="text1"/>
          <w:sz w:val="24"/>
        </w:rPr>
        <w:t>.</w:t>
      </w:r>
    </w:p>
    <w:p w14:paraId="7FFC251A" w14:textId="6620B5A3" w:rsidR="004B4ED8" w:rsidRPr="00F606B8" w:rsidRDefault="004B4ED8" w:rsidP="004B4ED8">
      <w:pPr>
        <w:spacing w:line="240" w:lineRule="auto"/>
        <w:ind w:firstLine="851"/>
        <w:contextualSpacing/>
        <w:jc w:val="both"/>
        <w:rPr>
          <w:rFonts w:ascii="Times New Roman" w:hAnsi="Times New Roman"/>
          <w:color w:val="000000" w:themeColor="text1"/>
          <w:sz w:val="24"/>
        </w:rPr>
      </w:pPr>
      <w:r w:rsidRPr="007C1FD4">
        <w:rPr>
          <w:rFonts w:ascii="Times New Roman" w:hAnsi="Times New Roman"/>
          <w:sz w:val="24"/>
        </w:rPr>
        <w:t>Pandangan lainnya menurut Marus Suti mutu/kualitas pendidikan merupakan derajat</w:t>
      </w:r>
      <w:r w:rsidR="007C1FD4">
        <w:rPr>
          <w:rFonts w:ascii="Times New Roman" w:hAnsi="Times New Roman"/>
          <w:sz w:val="24"/>
        </w:rPr>
        <w:t xml:space="preserve"> </w:t>
      </w:r>
      <w:r w:rsidRPr="007C1FD4">
        <w:rPr>
          <w:rFonts w:ascii="Times New Roman" w:hAnsi="Times New Roman"/>
          <w:sz w:val="24"/>
        </w:rPr>
        <w:t xml:space="preserve">keunggulan dalam pengelolaan pendidikan secara efektif dan efisien untuk </w:t>
      </w:r>
      <w:r w:rsidRPr="007C1FD4">
        <w:rPr>
          <w:rFonts w:ascii="Times New Roman" w:hAnsi="Times New Roman"/>
          <w:sz w:val="24"/>
        </w:rPr>
        <w:lastRenderedPageBreak/>
        <w:t xml:space="preserve">melahirkan keunggulan akademis dan ekstra kurikuler pada peserta didik yang dinyatakan lulus untuk satu jenjang pendidikan atau penyelesaian pembelajaran tertentu </w:t>
      </w:r>
      <w:r w:rsidRPr="00F606B8">
        <w:rPr>
          <w:rFonts w:ascii="Times New Roman" w:hAnsi="Times New Roman"/>
          <w:color w:val="5B9BD5" w:themeColor="accent5"/>
          <w:sz w:val="24"/>
        </w:rPr>
        <w:t>(Suti</w:t>
      </w:r>
      <w:r>
        <w:rPr>
          <w:rFonts w:ascii="Times New Roman" w:hAnsi="Times New Roman"/>
          <w:color w:val="5B9BD5" w:themeColor="accent5"/>
          <w:sz w:val="24"/>
        </w:rPr>
        <w:t>,</w:t>
      </w:r>
      <w:r w:rsidRPr="00F606B8">
        <w:rPr>
          <w:rFonts w:ascii="Times New Roman" w:hAnsi="Times New Roman"/>
          <w:color w:val="5B9BD5" w:themeColor="accent5"/>
          <w:sz w:val="24"/>
        </w:rPr>
        <w:t xml:space="preserve"> 2011)</w:t>
      </w:r>
      <w:r w:rsidRPr="00F606B8">
        <w:rPr>
          <w:rFonts w:ascii="Times New Roman" w:hAnsi="Times New Roman"/>
          <w:color w:val="000000" w:themeColor="text1"/>
          <w:sz w:val="24"/>
        </w:rPr>
        <w:t>.</w:t>
      </w:r>
    </w:p>
    <w:p w14:paraId="07285587" w14:textId="77777777" w:rsidR="004B4ED8" w:rsidRPr="00F606B8" w:rsidRDefault="004B4ED8" w:rsidP="004B4ED8">
      <w:pPr>
        <w:spacing w:line="240" w:lineRule="auto"/>
        <w:ind w:firstLine="851"/>
        <w:contextualSpacing/>
        <w:jc w:val="both"/>
        <w:rPr>
          <w:rFonts w:ascii="Times New Roman" w:hAnsi="Times New Roman"/>
          <w:color w:val="000000" w:themeColor="text1"/>
          <w:sz w:val="24"/>
        </w:rPr>
      </w:pPr>
      <w:r w:rsidRPr="00F606B8">
        <w:rPr>
          <w:rFonts w:ascii="Times New Roman" w:hAnsi="Times New Roman"/>
          <w:color w:val="000000" w:themeColor="text1"/>
          <w:sz w:val="24"/>
        </w:rPr>
        <w:t xml:space="preserve">Dalam konteks pendidikan, pengertian mutu mengacu pada masukan, proses dan hasil. Adapun penjelasannya sebagai berikut </w:t>
      </w:r>
      <w:r w:rsidRPr="00F606B8">
        <w:rPr>
          <w:rFonts w:ascii="Times New Roman" w:hAnsi="Times New Roman"/>
          <w:color w:val="5B9BD5" w:themeColor="accent5"/>
          <w:sz w:val="24"/>
        </w:rPr>
        <w:t>(Fuad</w:t>
      </w:r>
      <w:r>
        <w:rPr>
          <w:rFonts w:ascii="Times New Roman" w:hAnsi="Times New Roman"/>
          <w:color w:val="5B9BD5" w:themeColor="accent5"/>
          <w:sz w:val="24"/>
        </w:rPr>
        <w:t>,</w:t>
      </w:r>
      <w:r w:rsidRPr="00F606B8">
        <w:rPr>
          <w:rFonts w:ascii="Times New Roman" w:hAnsi="Times New Roman"/>
          <w:color w:val="5B9BD5" w:themeColor="accent5"/>
          <w:sz w:val="24"/>
        </w:rPr>
        <w:t xml:space="preserve"> 2008)</w:t>
      </w:r>
      <w:r w:rsidRPr="00F606B8">
        <w:rPr>
          <w:rFonts w:ascii="Times New Roman" w:hAnsi="Times New Roman"/>
          <w:color w:val="000000" w:themeColor="text1"/>
          <w:sz w:val="24"/>
        </w:rPr>
        <w:t>.</w:t>
      </w:r>
    </w:p>
    <w:p w14:paraId="3165D1EB" w14:textId="7EDD7A58" w:rsidR="004B4ED8" w:rsidRPr="00F606B8" w:rsidRDefault="004B4ED8" w:rsidP="004B4ED8">
      <w:pPr>
        <w:pStyle w:val="ListParagraph"/>
        <w:numPr>
          <w:ilvl w:val="0"/>
          <w:numId w:val="11"/>
        </w:numPr>
        <w:spacing w:after="160" w:line="240" w:lineRule="auto"/>
        <w:ind w:left="1276" w:hanging="425"/>
        <w:contextualSpacing/>
        <w:jc w:val="both"/>
        <w:rPr>
          <w:rFonts w:ascii="Times New Roman" w:hAnsi="Times New Roman"/>
          <w:color w:val="000000" w:themeColor="text1"/>
          <w:sz w:val="24"/>
        </w:rPr>
      </w:pPr>
      <w:r w:rsidRPr="00C91435">
        <w:rPr>
          <w:rFonts w:ascii="Times New Roman" w:hAnsi="Times New Roman"/>
          <w:color w:val="000000" w:themeColor="text1"/>
          <w:sz w:val="24"/>
        </w:rPr>
        <w:t>Mutu masukan dapat diidentifikasi dari perilaku manusia yang berada di sekolah seperti Kepala Sekolah, guru dan siswa</w:t>
      </w:r>
      <w:r w:rsidR="006E1F24">
        <w:rPr>
          <w:rFonts w:ascii="Times New Roman" w:hAnsi="Times New Roman"/>
          <w:color w:val="000000" w:themeColor="text1"/>
          <w:sz w:val="24"/>
        </w:rPr>
        <w:t>.</w:t>
      </w:r>
    </w:p>
    <w:p w14:paraId="2A32EEDA" w14:textId="16741886" w:rsidR="004B4ED8" w:rsidRPr="00F606B8" w:rsidRDefault="004B4ED8" w:rsidP="004B4ED8">
      <w:pPr>
        <w:pStyle w:val="ListParagraph"/>
        <w:numPr>
          <w:ilvl w:val="0"/>
          <w:numId w:val="11"/>
        </w:numPr>
        <w:spacing w:after="160" w:line="240" w:lineRule="auto"/>
        <w:ind w:left="1276" w:hanging="425"/>
        <w:contextualSpacing/>
        <w:jc w:val="both"/>
        <w:rPr>
          <w:rFonts w:ascii="Times New Roman" w:hAnsi="Times New Roman"/>
          <w:color w:val="000000" w:themeColor="text1"/>
          <w:sz w:val="24"/>
        </w:rPr>
      </w:pPr>
      <w:r w:rsidRPr="00F606B8">
        <w:rPr>
          <w:rFonts w:ascii="Times New Roman" w:hAnsi="Times New Roman"/>
          <w:color w:val="000000" w:themeColor="text1"/>
          <w:sz w:val="24"/>
        </w:rPr>
        <w:t xml:space="preserve">Mutu proses </w:t>
      </w:r>
      <w:r w:rsidRPr="00C91435">
        <w:rPr>
          <w:rFonts w:ascii="Times New Roman" w:hAnsi="Times New Roman"/>
          <w:color w:val="000000" w:themeColor="text1"/>
          <w:sz w:val="24"/>
        </w:rPr>
        <w:t>adalah proses pengambilan keputusan, pengelolaan sistem dan proses belajar mengajar</w:t>
      </w:r>
      <w:r w:rsidR="006E1F24">
        <w:rPr>
          <w:rFonts w:ascii="Times New Roman" w:hAnsi="Times New Roman"/>
          <w:color w:val="000000" w:themeColor="text1"/>
          <w:sz w:val="24"/>
        </w:rPr>
        <w:t>.</w:t>
      </w:r>
    </w:p>
    <w:p w14:paraId="1F8CF26F" w14:textId="0F8257EF" w:rsidR="006F7D90" w:rsidRPr="006E1F24" w:rsidRDefault="004B4ED8" w:rsidP="006F7D90">
      <w:pPr>
        <w:pStyle w:val="ListParagraph"/>
        <w:numPr>
          <w:ilvl w:val="0"/>
          <w:numId w:val="11"/>
        </w:numPr>
        <w:spacing w:after="160" w:line="240" w:lineRule="auto"/>
        <w:ind w:left="1276" w:hanging="425"/>
        <w:contextualSpacing/>
        <w:jc w:val="both"/>
        <w:rPr>
          <w:rFonts w:ascii="Times New Roman" w:hAnsi="Times New Roman"/>
          <w:color w:val="000000" w:themeColor="text1"/>
          <w:sz w:val="24"/>
        </w:rPr>
      </w:pPr>
      <w:r w:rsidRPr="00F606B8">
        <w:rPr>
          <w:rFonts w:ascii="Times New Roman" w:hAnsi="Times New Roman"/>
          <w:color w:val="000000" w:themeColor="text1"/>
          <w:sz w:val="24"/>
        </w:rPr>
        <w:t xml:space="preserve">Mutu keluaran </w:t>
      </w:r>
      <w:r w:rsidRPr="00C91435">
        <w:rPr>
          <w:rFonts w:ascii="Times New Roman" w:hAnsi="Times New Roman"/>
          <w:color w:val="000000" w:themeColor="text1"/>
          <w:sz w:val="24"/>
        </w:rPr>
        <w:t>adalah hasil dari menjalani pendidikan semasa sekolah dan akan dipandang memiliki mutu jika capaian akademik sangat baik</w:t>
      </w:r>
      <w:r w:rsidR="006E1F24">
        <w:rPr>
          <w:rFonts w:ascii="Times New Roman" w:hAnsi="Times New Roman"/>
          <w:color w:val="000000" w:themeColor="text1"/>
          <w:sz w:val="24"/>
        </w:rPr>
        <w:t>.</w:t>
      </w:r>
    </w:p>
    <w:p w14:paraId="7D3D5779" w14:textId="77777777" w:rsidR="006F7D90" w:rsidRPr="00925481" w:rsidRDefault="006F7D90" w:rsidP="006F7D90">
      <w:pPr>
        <w:spacing w:line="240" w:lineRule="auto"/>
        <w:contextualSpacing/>
        <w:jc w:val="both"/>
        <w:rPr>
          <w:rFonts w:ascii="Times New Roman" w:hAnsi="Times New Roman"/>
          <w:b/>
          <w:sz w:val="24"/>
        </w:rPr>
      </w:pPr>
      <w:r w:rsidRPr="00925481">
        <w:rPr>
          <w:rFonts w:ascii="Times New Roman" w:hAnsi="Times New Roman"/>
          <w:b/>
          <w:sz w:val="24"/>
        </w:rPr>
        <w:t>Metode Penelitian</w:t>
      </w:r>
    </w:p>
    <w:p w14:paraId="3104D084" w14:textId="11AB8A3B" w:rsidR="00640220" w:rsidRDefault="004B4ED8" w:rsidP="006E1F24">
      <w:pPr>
        <w:spacing w:line="240" w:lineRule="auto"/>
        <w:ind w:firstLine="851"/>
        <w:contextualSpacing/>
        <w:jc w:val="both"/>
        <w:rPr>
          <w:rFonts w:ascii="Times New Roman" w:hAnsi="Times New Roman"/>
          <w:sz w:val="24"/>
          <w:szCs w:val="24"/>
        </w:rPr>
      </w:pPr>
      <w:bookmarkStart w:id="0" w:name="_Hlk103767511"/>
      <w:r w:rsidRPr="004B4ED8">
        <w:rPr>
          <w:rFonts w:ascii="Times New Roman" w:hAnsi="Times New Roman"/>
          <w:sz w:val="24"/>
          <w:szCs w:val="24"/>
        </w:rPr>
        <w:t>Penelitian ini menggunakan metodologi penelitian deskriptif, yaitu dengan memberikan gambaran terhadap upaya Indonesia dalam meningkatkan kulaitas pendidikan untuk mencapai target Sustainable Development Goals. Data yang digunakan adalah jenis data sekunder yang diperoleh melalui hasil telaah studi pustaka digital, baik dari buku, jurnal, laporan, dokumen, dan sumber-sumber internet yang berisi data dan informasi yang berkaitan  dan berkaitan dan dapat menjelaskan fenomena yang terjadi dalam penelitian ini.</w:t>
      </w:r>
      <w:bookmarkEnd w:id="0"/>
    </w:p>
    <w:p w14:paraId="7E2F6904" w14:textId="77777777" w:rsidR="004B4ED8" w:rsidRPr="004B4ED8" w:rsidRDefault="004B4ED8" w:rsidP="004B4ED8">
      <w:pPr>
        <w:spacing w:after="160" w:line="240" w:lineRule="auto"/>
        <w:contextualSpacing/>
        <w:jc w:val="both"/>
        <w:rPr>
          <w:rFonts w:ascii="Times New Roman" w:eastAsia="Calibri" w:hAnsi="Times New Roman"/>
          <w:b/>
          <w:noProof/>
          <w:sz w:val="24"/>
        </w:rPr>
      </w:pPr>
      <w:r w:rsidRPr="004B4ED8">
        <w:rPr>
          <w:rFonts w:ascii="Times New Roman" w:eastAsia="Calibri" w:hAnsi="Times New Roman"/>
          <w:b/>
          <w:noProof/>
          <w:sz w:val="24"/>
        </w:rPr>
        <w:t>Hasil dan Pembahasan</w:t>
      </w:r>
    </w:p>
    <w:p w14:paraId="7BDCC6D2" w14:textId="77777777" w:rsidR="004B4ED8" w:rsidRPr="004B4ED8" w:rsidRDefault="004B4ED8" w:rsidP="004B4ED8">
      <w:pPr>
        <w:numPr>
          <w:ilvl w:val="0"/>
          <w:numId w:val="13"/>
        </w:numPr>
        <w:spacing w:after="0" w:line="240" w:lineRule="auto"/>
        <w:ind w:left="851" w:hanging="851"/>
        <w:contextualSpacing/>
        <w:jc w:val="both"/>
        <w:rPr>
          <w:rFonts w:ascii="Times New Roman" w:eastAsia="Calibri" w:hAnsi="Times New Roman"/>
          <w:b/>
          <w:noProof/>
          <w:sz w:val="24"/>
        </w:rPr>
      </w:pPr>
      <w:r w:rsidRPr="004B4ED8">
        <w:rPr>
          <w:rFonts w:ascii="Times New Roman" w:eastAsia="Calibri" w:hAnsi="Times New Roman"/>
          <w:b/>
          <w:noProof/>
          <w:sz w:val="24"/>
        </w:rPr>
        <w:t>Upaya Kebijakan Bidang Hukum</w:t>
      </w:r>
    </w:p>
    <w:p w14:paraId="5FC4569B" w14:textId="77777777" w:rsidR="004B4ED8" w:rsidRPr="004B4ED8" w:rsidRDefault="004B4ED8" w:rsidP="004B4ED8">
      <w:pPr>
        <w:spacing w:after="0" w:line="240" w:lineRule="auto"/>
        <w:ind w:firstLine="851"/>
        <w:contextualSpacing/>
        <w:jc w:val="both"/>
        <w:rPr>
          <w:rFonts w:ascii="Times New Roman" w:eastAsia="Calibri" w:hAnsi="Times New Roman"/>
          <w:bCs/>
          <w:noProof/>
          <w:sz w:val="24"/>
        </w:rPr>
      </w:pPr>
      <w:r w:rsidRPr="007C1FD4">
        <w:rPr>
          <w:rFonts w:ascii="Times New Roman" w:eastAsia="Calibri" w:hAnsi="Times New Roman"/>
          <w:bCs/>
          <w:noProof/>
          <w:sz w:val="24"/>
        </w:rPr>
        <w:t>Pemerintah Indonesia telah berkomitmen untuk melaksanakan SDGs dengan dikeluarkannya Peraturan Presiden Nomor 59 Tahun 2017 tentang Pelaksanaan SDGs, termasuk dalam bidang pendidikan. Perpres tersebut memaparkan 17 target SDGs yang masuk dalam target nasional Rencana Pembangunan Jangka Menengah Nasional 2015–2019 di Indonesia. Di antara 17 poin Perpres Pelaksanaan Pencapaian Tujuan Pembangunan Berkelanjutan, salah satu fokus utama Indonesia adalah poin terkait dengan kualitas pendidikan</w:t>
      </w:r>
      <w:r w:rsidRPr="004B4ED8">
        <w:rPr>
          <w:rFonts w:ascii="Times New Roman" w:eastAsia="Calibri" w:hAnsi="Times New Roman"/>
          <w:bCs/>
          <w:noProof/>
          <w:sz w:val="24"/>
        </w:rPr>
        <w:t xml:space="preserve"> </w:t>
      </w:r>
      <w:r w:rsidRPr="004B4ED8">
        <w:rPr>
          <w:rFonts w:ascii="Times New Roman" w:eastAsia="Calibri" w:hAnsi="Times New Roman"/>
          <w:bCs/>
          <w:noProof/>
          <w:color w:val="5B9BD5"/>
          <w:sz w:val="24"/>
        </w:rPr>
        <w:t>(Zaenal, 2017)</w:t>
      </w:r>
      <w:r w:rsidRPr="004B4ED8">
        <w:rPr>
          <w:rFonts w:ascii="Times New Roman" w:eastAsia="Calibri" w:hAnsi="Times New Roman"/>
          <w:bCs/>
          <w:noProof/>
          <w:sz w:val="24"/>
        </w:rPr>
        <w:t>.</w:t>
      </w:r>
    </w:p>
    <w:p w14:paraId="0A3B5CF1" w14:textId="77777777" w:rsidR="004B4ED8" w:rsidRPr="004B4ED8" w:rsidRDefault="004B4ED8" w:rsidP="004B4ED8">
      <w:pPr>
        <w:spacing w:after="0" w:line="240" w:lineRule="auto"/>
        <w:ind w:firstLine="851"/>
        <w:contextualSpacing/>
        <w:jc w:val="both"/>
        <w:rPr>
          <w:rFonts w:ascii="Times New Roman" w:eastAsia="Calibri" w:hAnsi="Times New Roman"/>
          <w:bCs/>
          <w:noProof/>
          <w:color w:val="000000"/>
          <w:sz w:val="24"/>
        </w:rPr>
      </w:pPr>
      <w:r w:rsidRPr="007C1FD4">
        <w:rPr>
          <w:rFonts w:ascii="Times New Roman" w:eastAsia="Calibri" w:hAnsi="Times New Roman"/>
          <w:bCs/>
          <w:noProof/>
          <w:sz w:val="24"/>
        </w:rPr>
        <w:t xml:space="preserve">Terdapat beberapa poin yang menekankan kepada pentingnya membangun aspek pendidikan yang baik. Hal ini tercantum dalam Tujuan Global ke- 4 yaitu menjamin kualitas pendidikan yang inklusif dan merata serta meningkatkan kesempatan belajar sepanjang hayat untuk semua. </w:t>
      </w:r>
      <w:bookmarkStart w:id="1" w:name="_Hlk104905830"/>
      <w:r w:rsidRPr="007C1FD4">
        <w:rPr>
          <w:rFonts w:ascii="Times New Roman" w:eastAsia="Calibri" w:hAnsi="Times New Roman"/>
          <w:bCs/>
          <w:noProof/>
          <w:sz w:val="24"/>
        </w:rPr>
        <w:t xml:space="preserve">Dari 7 sasaran global SDGs poin 4, Indonesia mengadopsi 5 sasaran tersebut untuk menjadi target bagi negaranya yang terlampir dalam Perpres  </w:t>
      </w:r>
      <w:bookmarkEnd w:id="1"/>
      <w:r w:rsidRPr="007C1FD4">
        <w:rPr>
          <w:rFonts w:ascii="Times New Roman" w:eastAsia="Calibri" w:hAnsi="Times New Roman"/>
          <w:bCs/>
          <w:noProof/>
          <w:sz w:val="24"/>
        </w:rPr>
        <w:t>59 tahun 2017</w:t>
      </w:r>
      <w:r w:rsidRPr="004B4ED8">
        <w:rPr>
          <w:rFonts w:ascii="Times New Roman" w:eastAsia="Calibri" w:hAnsi="Times New Roman"/>
          <w:bCs/>
          <w:noProof/>
          <w:sz w:val="24"/>
          <w:lang w:val="en-US"/>
        </w:rPr>
        <w:t>.</w:t>
      </w:r>
      <w:r w:rsidRPr="004B4ED8">
        <w:rPr>
          <w:rFonts w:ascii="Times New Roman" w:eastAsia="Calibri" w:hAnsi="Times New Roman"/>
          <w:bCs/>
          <w:noProof/>
          <w:color w:val="5B9BD5"/>
          <w:sz w:val="24"/>
        </w:rPr>
        <w:t>(Perpres 59/2017)</w:t>
      </w:r>
      <w:r w:rsidRPr="004B4ED8">
        <w:rPr>
          <w:rFonts w:ascii="Times New Roman" w:eastAsia="Calibri" w:hAnsi="Times New Roman"/>
          <w:bCs/>
          <w:noProof/>
          <w:color w:val="000000"/>
          <w:sz w:val="24"/>
        </w:rPr>
        <w:t>.</w:t>
      </w:r>
    </w:p>
    <w:p w14:paraId="22693ADB" w14:textId="77777777" w:rsidR="004B4ED8" w:rsidRPr="004B4ED8" w:rsidRDefault="004B4ED8" w:rsidP="004B4ED8">
      <w:pPr>
        <w:numPr>
          <w:ilvl w:val="0"/>
          <w:numId w:val="14"/>
        </w:numPr>
        <w:spacing w:after="0" w:line="240" w:lineRule="auto"/>
        <w:ind w:left="284" w:hanging="284"/>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Sasaran Global Pertama. Pada tahun 2030, Pemerintah Indonesia menjamin bahwa semua anak perempuan dan laki-laki harus menyelesaikan pendidikan dasar dan menengah tanpa dipungut biaya, setara, dan berkualitas, yang mengarah pada capaian pembelajaran yang relevan dan efektif.</w:t>
      </w:r>
    </w:p>
    <w:p w14:paraId="3A03AAF7" w14:textId="77777777" w:rsidR="004B4ED8" w:rsidRPr="004B4ED8" w:rsidRDefault="004B4ED8" w:rsidP="004B4ED8">
      <w:pPr>
        <w:numPr>
          <w:ilvl w:val="0"/>
          <w:numId w:val="14"/>
        </w:numPr>
        <w:spacing w:after="160" w:line="240" w:lineRule="auto"/>
        <w:ind w:left="284" w:hanging="284"/>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Pada tahun 2030, Pemerintah Indonesia menjamin bahwa semua anak perempuan dan laki-laki memiliki akses terhadap perkembangan dan pengasuhan anak usia dini, pengasuhan, pendidikan pra-sekolah dasar yang berkualitas, sehingga mereka siap untuk menempuh pendidikan dasar.</w:t>
      </w:r>
    </w:p>
    <w:p w14:paraId="39C2A38B" w14:textId="77777777" w:rsidR="004B4ED8" w:rsidRPr="004B4ED8" w:rsidRDefault="004B4ED8" w:rsidP="004B4ED8">
      <w:pPr>
        <w:numPr>
          <w:ilvl w:val="0"/>
          <w:numId w:val="14"/>
        </w:numPr>
        <w:spacing w:after="160" w:line="240" w:lineRule="auto"/>
        <w:ind w:left="284" w:hanging="284"/>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Pada tahun 2030, menjamin akses yang sama bagi semua perempuan dan laki-laki, terhadap pendidikan teknik, kejuruan dan pendidikan tinggi, termasuk universitas, yang terjangkau dan berkualitas.</w:t>
      </w:r>
    </w:p>
    <w:p w14:paraId="7B08CEDA" w14:textId="77777777" w:rsidR="004B4ED8" w:rsidRPr="004B4ED8" w:rsidRDefault="004B4ED8" w:rsidP="004B4ED8">
      <w:pPr>
        <w:numPr>
          <w:ilvl w:val="0"/>
          <w:numId w:val="14"/>
        </w:numPr>
        <w:spacing w:after="160" w:line="240" w:lineRule="auto"/>
        <w:ind w:left="284" w:hanging="284"/>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 xml:space="preserve">Pada tahun 2030, menghilangkan disparitas gender dalam pendidikan, dan menjamin akses yang sama untuk semua tingkat pendidikan dan pelatihan kejuruan, bagi </w:t>
      </w:r>
      <w:r w:rsidRPr="004B4ED8">
        <w:rPr>
          <w:rFonts w:ascii="Times New Roman" w:eastAsia="Calibri" w:hAnsi="Times New Roman"/>
          <w:bCs/>
          <w:noProof/>
          <w:sz w:val="24"/>
          <w:lang w:val="en-US"/>
        </w:rPr>
        <w:lastRenderedPageBreak/>
        <w:t>masyarakat rentan termasuk penyandang cacat, masyarakat penduduk asli, dan anak-anak dalam kondisi rentan</w:t>
      </w:r>
    </w:p>
    <w:p w14:paraId="1BF48CB7" w14:textId="77777777" w:rsidR="004B4ED8" w:rsidRPr="004B4ED8" w:rsidRDefault="004B4ED8" w:rsidP="004B4ED8">
      <w:pPr>
        <w:numPr>
          <w:ilvl w:val="0"/>
          <w:numId w:val="14"/>
        </w:numPr>
        <w:spacing w:after="160" w:line="240" w:lineRule="auto"/>
        <w:ind w:left="284" w:hanging="284"/>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Pada tahun 2030, menjamin bahwa semua remaja dan proporsi kelompok dewasa tertentu, baik laki-laki maupun perempuan, memiliki kemampuan literasi dan numerasi.</w:t>
      </w:r>
    </w:p>
    <w:p w14:paraId="0FC7045A" w14:textId="77777777" w:rsidR="004B4ED8" w:rsidRPr="004B4ED8" w:rsidRDefault="004B4ED8" w:rsidP="004B4ED8">
      <w:pPr>
        <w:numPr>
          <w:ilvl w:val="0"/>
          <w:numId w:val="13"/>
        </w:numPr>
        <w:spacing w:before="240" w:after="160" w:line="259" w:lineRule="auto"/>
        <w:ind w:left="851" w:hanging="851"/>
        <w:contextualSpacing/>
        <w:rPr>
          <w:rFonts w:ascii="Times New Roman" w:eastAsia="Calibri" w:hAnsi="Times New Roman"/>
          <w:b/>
          <w:bCs/>
          <w:noProof/>
          <w:sz w:val="24"/>
        </w:rPr>
      </w:pPr>
      <w:r w:rsidRPr="004B4ED8">
        <w:rPr>
          <w:rFonts w:ascii="Times New Roman" w:eastAsia="Calibri" w:hAnsi="Times New Roman"/>
          <w:b/>
          <w:bCs/>
          <w:noProof/>
          <w:sz w:val="24"/>
        </w:rPr>
        <w:t>Upaya Kebijakan Program Peningkatan Akses Pendidikan</w:t>
      </w:r>
    </w:p>
    <w:p w14:paraId="02D25B30" w14:textId="551B0D9C" w:rsidR="00CA00BF" w:rsidRPr="007C1FD4" w:rsidRDefault="004B4ED8" w:rsidP="006E1F24">
      <w:pPr>
        <w:spacing w:after="160" w:line="240" w:lineRule="auto"/>
        <w:ind w:firstLine="851"/>
        <w:contextualSpacing/>
        <w:jc w:val="both"/>
        <w:rPr>
          <w:rFonts w:ascii="Times New Roman" w:eastAsia="Calibri" w:hAnsi="Times New Roman"/>
          <w:noProof/>
          <w:sz w:val="24"/>
          <w:szCs w:val="24"/>
          <w:lang w:val="en-US"/>
        </w:rPr>
      </w:pPr>
      <w:r w:rsidRPr="007C1FD4">
        <w:rPr>
          <w:rFonts w:ascii="Times New Roman" w:eastAsia="Calibri" w:hAnsi="Times New Roman"/>
          <w:noProof/>
          <w:sz w:val="24"/>
          <w:szCs w:val="24"/>
        </w:rPr>
        <w:t>P</w:t>
      </w:r>
      <w:r w:rsidRPr="007C1FD4">
        <w:rPr>
          <w:rFonts w:ascii="Times New Roman" w:eastAsia="Calibri" w:hAnsi="Times New Roman"/>
          <w:noProof/>
          <w:sz w:val="24"/>
          <w:szCs w:val="24"/>
          <w:lang w:val="en-US"/>
        </w:rPr>
        <w:t xml:space="preserve">emerintah mengeluarkan kebijakan program peningkatan akses pendidikan. Di mana kebijakan ini merupakan kebijakan pembangunan berkelanjutan karena  pemerintah berupaya menyelesaikan masalah </w:t>
      </w:r>
      <w:r w:rsidRPr="007C1FD4">
        <w:rPr>
          <w:rFonts w:ascii="Times New Roman" w:eastAsia="Calibri" w:hAnsi="Times New Roman"/>
          <w:noProof/>
          <w:sz w:val="24"/>
          <w:szCs w:val="24"/>
        </w:rPr>
        <w:t>pendidikan yang merupakan salah satu unsur dari pilar</w:t>
      </w:r>
      <w:r w:rsidRPr="007C1FD4">
        <w:rPr>
          <w:rFonts w:ascii="Times New Roman" w:eastAsia="Calibri" w:hAnsi="Times New Roman"/>
          <w:noProof/>
          <w:sz w:val="24"/>
          <w:szCs w:val="24"/>
          <w:lang w:val="en-US"/>
        </w:rPr>
        <w:t xml:space="preserve"> sosial</w:t>
      </w:r>
      <w:r w:rsidRPr="007C1FD4">
        <w:rPr>
          <w:rFonts w:ascii="Times New Roman" w:eastAsia="Calibri" w:hAnsi="Times New Roman"/>
          <w:noProof/>
          <w:sz w:val="24"/>
          <w:szCs w:val="24"/>
        </w:rPr>
        <w:t xml:space="preserve"> dalam pembangunan berkelanjutan yang diatur dalam</w:t>
      </w:r>
      <w:r w:rsidRPr="007C1FD4">
        <w:rPr>
          <w:rFonts w:ascii="Times New Roman" w:eastAsia="Calibri" w:hAnsi="Times New Roman"/>
          <w:noProof/>
          <w:sz w:val="24"/>
          <w:szCs w:val="24"/>
          <w:lang w:val="en-US"/>
        </w:rPr>
        <w:t xml:space="preserve"> target SDGs ke 4 (Kualitas Pendidikan).</w:t>
      </w:r>
    </w:p>
    <w:p w14:paraId="24AD94FE" w14:textId="77777777" w:rsidR="004B4ED8" w:rsidRPr="004B4ED8" w:rsidRDefault="004B4ED8" w:rsidP="004B4ED8">
      <w:pPr>
        <w:numPr>
          <w:ilvl w:val="0"/>
          <w:numId w:val="12"/>
        </w:numPr>
        <w:spacing w:after="160" w:line="259" w:lineRule="auto"/>
        <w:ind w:left="851" w:hanging="850"/>
        <w:contextualSpacing/>
        <w:rPr>
          <w:rFonts w:ascii="Times New Roman" w:eastAsia="Calibri" w:hAnsi="Times New Roman"/>
          <w:b/>
          <w:bCs/>
          <w:noProof/>
          <w:sz w:val="24"/>
        </w:rPr>
      </w:pPr>
      <w:r w:rsidRPr="004B4ED8">
        <w:rPr>
          <w:rFonts w:ascii="Times New Roman" w:eastAsia="Calibri" w:hAnsi="Times New Roman"/>
          <w:b/>
          <w:bCs/>
          <w:noProof/>
          <w:sz w:val="24"/>
        </w:rPr>
        <w:t>Program Indonesia Pintar</w:t>
      </w:r>
    </w:p>
    <w:p w14:paraId="3239A619" w14:textId="77777777" w:rsidR="004B4ED8" w:rsidRPr="004B4ED8" w:rsidRDefault="004B4ED8" w:rsidP="004B4ED8">
      <w:pPr>
        <w:spacing w:after="160" w:line="259" w:lineRule="auto"/>
        <w:ind w:firstLine="851"/>
        <w:contextualSpacing/>
        <w:jc w:val="both"/>
        <w:rPr>
          <w:rFonts w:ascii="Times New Roman" w:eastAsia="Calibri" w:hAnsi="Times New Roman"/>
          <w:noProof/>
          <w:sz w:val="24"/>
        </w:rPr>
      </w:pPr>
      <w:r w:rsidRPr="004B4ED8">
        <w:rPr>
          <w:rFonts w:ascii="Times New Roman" w:eastAsia="Calibri" w:hAnsi="Times New Roman"/>
          <w:noProof/>
          <w:sz w:val="24"/>
        </w:rPr>
        <w:t xml:space="preserve">Program Indonesia Pintar adalah program pemerintah berupa dana pendidikan yang diberikan langsung kepada siswa. Mereka yang menerima merupakan siswa yang berasal dari keluarga kurang mampu secara ekonomi. Program ini berdasarkan Peraturan Menteri Pendidikan dan Kebudayaan Republik Indonesia No. 16 Tahun 2016 </w:t>
      </w:r>
      <w:r w:rsidRPr="004B4ED8">
        <w:rPr>
          <w:rFonts w:ascii="Times New Roman" w:eastAsia="Calibri" w:hAnsi="Times New Roman"/>
          <w:noProof/>
          <w:color w:val="5B9BD5"/>
          <w:sz w:val="24"/>
        </w:rPr>
        <w:t>(Kemendikbud, 2018)</w:t>
      </w:r>
      <w:r w:rsidRPr="004B4ED8">
        <w:rPr>
          <w:rFonts w:ascii="Times New Roman" w:eastAsia="Calibri" w:hAnsi="Times New Roman"/>
          <w:noProof/>
          <w:sz w:val="24"/>
        </w:rPr>
        <w:t>.</w:t>
      </w:r>
    </w:p>
    <w:p w14:paraId="68A5CE0B" w14:textId="77777777" w:rsidR="004B4ED8" w:rsidRPr="004B4ED8" w:rsidRDefault="004B4ED8" w:rsidP="004B4ED8">
      <w:pPr>
        <w:spacing w:after="160" w:line="259" w:lineRule="auto"/>
        <w:ind w:firstLine="851"/>
        <w:contextualSpacing/>
        <w:jc w:val="both"/>
        <w:rPr>
          <w:rFonts w:ascii="Times New Roman" w:eastAsia="Calibri" w:hAnsi="Times New Roman"/>
          <w:noProof/>
          <w:sz w:val="24"/>
        </w:rPr>
      </w:pPr>
      <w:r w:rsidRPr="004B4ED8">
        <w:rPr>
          <w:rFonts w:ascii="Times New Roman" w:eastAsia="Calibri" w:hAnsi="Times New Roman"/>
          <w:noProof/>
          <w:sz w:val="24"/>
        </w:rPr>
        <w:t>Bagi para pelajar yang sudah terdaftar dan memiliki kartu KIP akan mendapatkan manfaat besaran dana sesuai jenjang pendidikannya masing-masing seperti yang terdapat pada tabel berikut:</w:t>
      </w:r>
    </w:p>
    <w:p w14:paraId="3BDE6858" w14:textId="77777777" w:rsidR="004B4ED8" w:rsidRPr="004B4ED8" w:rsidRDefault="004B4ED8" w:rsidP="004B4ED8">
      <w:pPr>
        <w:spacing w:after="160" w:line="259" w:lineRule="auto"/>
        <w:ind w:hanging="142"/>
        <w:contextualSpacing/>
        <w:jc w:val="center"/>
        <w:rPr>
          <w:rFonts w:ascii="Times New Roman" w:eastAsia="Calibri" w:hAnsi="Times New Roman"/>
          <w:noProof/>
          <w:sz w:val="24"/>
        </w:rPr>
      </w:pPr>
      <w:r w:rsidRPr="004B4ED8">
        <w:rPr>
          <w:rFonts w:ascii="Times New Roman" w:eastAsia="Calibri" w:hAnsi="Times New Roman"/>
          <w:noProof/>
          <w:sz w:val="24"/>
        </w:rPr>
        <w:t>Tabel 4 Manfaat Program Indonesia Pintar</w:t>
      </w:r>
    </w:p>
    <w:tbl>
      <w:tblPr>
        <w:tblStyle w:val="TableGrid2"/>
        <w:tblW w:w="0" w:type="auto"/>
        <w:jc w:val="center"/>
        <w:tblLook w:val="04A0" w:firstRow="1" w:lastRow="0" w:firstColumn="1" w:lastColumn="0" w:noHBand="0" w:noVBand="1"/>
      </w:tblPr>
      <w:tblGrid>
        <w:gridCol w:w="2144"/>
        <w:gridCol w:w="1376"/>
        <w:gridCol w:w="1517"/>
      </w:tblGrid>
      <w:tr w:rsidR="004B4ED8" w:rsidRPr="004B4ED8" w14:paraId="1051488E" w14:textId="77777777" w:rsidTr="00AE2B20">
        <w:trPr>
          <w:jc w:val="center"/>
        </w:trPr>
        <w:tc>
          <w:tcPr>
            <w:tcW w:w="0" w:type="auto"/>
          </w:tcPr>
          <w:p w14:paraId="5E55C478"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Jenjang Pendidikan</w:t>
            </w:r>
          </w:p>
        </w:tc>
        <w:tc>
          <w:tcPr>
            <w:tcW w:w="0" w:type="auto"/>
          </w:tcPr>
          <w:p w14:paraId="1B5F1AE5"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Persemester</w:t>
            </w:r>
          </w:p>
        </w:tc>
        <w:tc>
          <w:tcPr>
            <w:tcW w:w="0" w:type="auto"/>
          </w:tcPr>
          <w:p w14:paraId="2A977ADD"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Pertahun</w:t>
            </w:r>
          </w:p>
        </w:tc>
      </w:tr>
      <w:tr w:rsidR="004B4ED8" w:rsidRPr="004B4ED8" w14:paraId="70530812" w14:textId="77777777" w:rsidTr="00AE2B20">
        <w:trPr>
          <w:jc w:val="center"/>
        </w:trPr>
        <w:tc>
          <w:tcPr>
            <w:tcW w:w="0" w:type="auto"/>
          </w:tcPr>
          <w:p w14:paraId="19592204"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SD/MI/Paket A</w:t>
            </w:r>
          </w:p>
        </w:tc>
        <w:tc>
          <w:tcPr>
            <w:tcW w:w="0" w:type="auto"/>
          </w:tcPr>
          <w:p w14:paraId="0B7AB04C"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Rp 225.000</w:t>
            </w:r>
          </w:p>
        </w:tc>
        <w:tc>
          <w:tcPr>
            <w:tcW w:w="0" w:type="auto"/>
          </w:tcPr>
          <w:p w14:paraId="7CCA19F7"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Rp 450.000</w:t>
            </w:r>
          </w:p>
        </w:tc>
      </w:tr>
      <w:tr w:rsidR="004B4ED8" w:rsidRPr="004B4ED8" w14:paraId="62159317" w14:textId="77777777" w:rsidTr="00AE2B20">
        <w:trPr>
          <w:jc w:val="center"/>
        </w:trPr>
        <w:tc>
          <w:tcPr>
            <w:tcW w:w="0" w:type="auto"/>
          </w:tcPr>
          <w:p w14:paraId="3C6997BF"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SMP/MTs/Paket B</w:t>
            </w:r>
          </w:p>
        </w:tc>
        <w:tc>
          <w:tcPr>
            <w:tcW w:w="0" w:type="auto"/>
          </w:tcPr>
          <w:p w14:paraId="39EF41F2"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Rp 375.000</w:t>
            </w:r>
          </w:p>
        </w:tc>
        <w:tc>
          <w:tcPr>
            <w:tcW w:w="0" w:type="auto"/>
          </w:tcPr>
          <w:p w14:paraId="2AC1A64D"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Rp 750.000</w:t>
            </w:r>
          </w:p>
        </w:tc>
      </w:tr>
      <w:tr w:rsidR="004B4ED8" w:rsidRPr="004B4ED8" w14:paraId="72FF1C2A" w14:textId="77777777" w:rsidTr="00AE2B20">
        <w:trPr>
          <w:jc w:val="center"/>
        </w:trPr>
        <w:tc>
          <w:tcPr>
            <w:tcW w:w="0" w:type="auto"/>
          </w:tcPr>
          <w:p w14:paraId="70B8BF41"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SMA/SMK/Paket C</w:t>
            </w:r>
          </w:p>
        </w:tc>
        <w:tc>
          <w:tcPr>
            <w:tcW w:w="0" w:type="auto"/>
          </w:tcPr>
          <w:p w14:paraId="7A8E2203"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Rp 500.000</w:t>
            </w:r>
          </w:p>
        </w:tc>
        <w:tc>
          <w:tcPr>
            <w:tcW w:w="0" w:type="auto"/>
          </w:tcPr>
          <w:p w14:paraId="39BBC19B" w14:textId="77777777" w:rsidR="004B4ED8" w:rsidRPr="004B4ED8" w:rsidRDefault="004B4ED8" w:rsidP="004B4ED8">
            <w:pPr>
              <w:spacing w:after="40" w:line="240" w:lineRule="auto"/>
              <w:contextualSpacing/>
              <w:jc w:val="center"/>
              <w:rPr>
                <w:rFonts w:ascii="Times New Roman" w:hAnsi="Times New Roman"/>
                <w:noProof/>
                <w:sz w:val="24"/>
                <w:szCs w:val="24"/>
              </w:rPr>
            </w:pPr>
            <w:r w:rsidRPr="004B4ED8">
              <w:rPr>
                <w:rFonts w:ascii="Times New Roman" w:hAnsi="Times New Roman"/>
                <w:noProof/>
                <w:sz w:val="24"/>
                <w:szCs w:val="24"/>
              </w:rPr>
              <w:t>Rp 1.000.000</w:t>
            </w:r>
          </w:p>
        </w:tc>
      </w:tr>
    </w:tbl>
    <w:p w14:paraId="3FE874B0" w14:textId="77777777" w:rsidR="004B4ED8" w:rsidRPr="004B4ED8" w:rsidRDefault="004B4ED8" w:rsidP="004B4ED8">
      <w:pPr>
        <w:spacing w:after="160" w:line="259" w:lineRule="auto"/>
        <w:contextualSpacing/>
        <w:jc w:val="center"/>
        <w:rPr>
          <w:rFonts w:ascii="Times New Roman" w:eastAsia="Calibri" w:hAnsi="Times New Roman"/>
          <w:noProof/>
          <w:sz w:val="24"/>
        </w:rPr>
      </w:pPr>
      <w:r w:rsidRPr="004B4ED8">
        <w:rPr>
          <w:rFonts w:ascii="Times New Roman" w:eastAsia="Calibri" w:hAnsi="Times New Roman"/>
          <w:noProof/>
          <w:sz w:val="24"/>
        </w:rPr>
        <w:t>Sumber: Kemendikbud</w:t>
      </w:r>
    </w:p>
    <w:p w14:paraId="53D16079" w14:textId="77777777" w:rsidR="004B4ED8" w:rsidRPr="004B4ED8" w:rsidRDefault="004B4ED8" w:rsidP="004B4ED8">
      <w:pPr>
        <w:spacing w:after="160" w:line="259" w:lineRule="auto"/>
        <w:contextualSpacing/>
        <w:jc w:val="center"/>
        <w:rPr>
          <w:rFonts w:ascii="Times New Roman" w:eastAsia="Calibri" w:hAnsi="Times New Roman"/>
          <w:noProof/>
          <w:sz w:val="24"/>
        </w:rPr>
      </w:pPr>
    </w:p>
    <w:p w14:paraId="226EE850" w14:textId="77777777" w:rsidR="004B4ED8" w:rsidRPr="004B4ED8" w:rsidRDefault="004B4ED8" w:rsidP="004B4ED8">
      <w:pPr>
        <w:spacing w:after="160" w:line="259" w:lineRule="auto"/>
        <w:ind w:firstLine="851"/>
        <w:contextualSpacing/>
        <w:jc w:val="both"/>
        <w:rPr>
          <w:rFonts w:ascii="Times New Roman" w:eastAsia="Calibri" w:hAnsi="Times New Roman"/>
          <w:noProof/>
          <w:sz w:val="24"/>
        </w:rPr>
      </w:pPr>
      <w:r w:rsidRPr="004B4ED8">
        <w:rPr>
          <w:rFonts w:ascii="Times New Roman" w:eastAsia="Calibri" w:hAnsi="Times New Roman"/>
          <w:noProof/>
          <w:sz w:val="24"/>
        </w:rPr>
        <w:t>Program PIP ini sebenarnya telah berjalan sejak tahun 2016 sebelum pemerintah Indonesia membuat dasar hukum pelaksanaan SDGs di Indonesia pada tahun 2017, meski demikian target dari program ini sesuai dengan target SDGs 4</w:t>
      </w:r>
      <w:r w:rsidRPr="004B4ED8">
        <w:rPr>
          <w:rFonts w:ascii="Times New Roman" w:eastAsia="Calibri" w:hAnsi="Times New Roman"/>
          <w:noProof/>
          <w:sz w:val="28"/>
        </w:rPr>
        <w:t>.</w:t>
      </w:r>
      <w:r w:rsidRPr="004B4ED8">
        <w:rPr>
          <w:rFonts w:ascii="Times New Roman" w:eastAsia="Calibri" w:hAnsi="Times New Roman"/>
          <w:noProof/>
          <w:sz w:val="24"/>
        </w:rPr>
        <w:t>1 yang intinya adalah untuk menjamin pada tahun 2030 semua anak-anak laki-laki dan perempuan untuk menyelesaikan pendidikan dasar dan menengah dengan setara dan berkualitas</w:t>
      </w:r>
      <w:r w:rsidRPr="004B4ED8">
        <w:rPr>
          <w:rFonts w:ascii="Times New Roman" w:eastAsia="Calibri" w:hAnsi="Times New Roman"/>
          <w:noProof/>
          <w:sz w:val="28"/>
        </w:rPr>
        <w:t>.</w:t>
      </w:r>
    </w:p>
    <w:p w14:paraId="13D2FD30" w14:textId="77777777" w:rsidR="004B4ED8" w:rsidRPr="004B4ED8" w:rsidRDefault="004B4ED8" w:rsidP="004B4ED8">
      <w:pPr>
        <w:spacing w:after="160" w:line="259" w:lineRule="auto"/>
        <w:ind w:firstLine="851"/>
        <w:contextualSpacing/>
        <w:jc w:val="both"/>
        <w:rPr>
          <w:rFonts w:ascii="Times New Roman" w:eastAsia="Calibri" w:hAnsi="Times New Roman"/>
          <w:noProof/>
          <w:sz w:val="24"/>
        </w:rPr>
      </w:pPr>
      <w:r w:rsidRPr="004B4ED8">
        <w:rPr>
          <w:rFonts w:ascii="Times New Roman" w:eastAsia="Calibri" w:hAnsi="Times New Roman"/>
          <w:noProof/>
          <w:sz w:val="24"/>
        </w:rPr>
        <w:t>Pelaksanaan PIP telah berhasil menurunkan APS (angka putus sekolah) jenjang SD dari yang awalnya pada tahun ajaran 2015/2016 sebanyak 68</w:t>
      </w:r>
      <w:r w:rsidRPr="004B4ED8">
        <w:rPr>
          <w:rFonts w:ascii="Times New Roman" w:eastAsia="Calibri" w:hAnsi="Times New Roman"/>
          <w:noProof/>
          <w:sz w:val="28"/>
        </w:rPr>
        <w:t>.</w:t>
      </w:r>
      <w:r w:rsidRPr="004B4ED8">
        <w:rPr>
          <w:rFonts w:ascii="Times New Roman" w:eastAsia="Calibri" w:hAnsi="Times New Roman"/>
          <w:noProof/>
          <w:sz w:val="24"/>
        </w:rPr>
        <w:t>066 siswa menjadi 44.516 pada tahun 2020</w:t>
      </w:r>
      <w:r w:rsidRPr="004B4ED8">
        <w:rPr>
          <w:rFonts w:ascii="Times New Roman" w:eastAsia="Calibri" w:hAnsi="Times New Roman"/>
          <w:noProof/>
          <w:sz w:val="28"/>
        </w:rPr>
        <w:t>.</w:t>
      </w:r>
      <w:r w:rsidRPr="004B4ED8">
        <w:rPr>
          <w:rFonts w:ascii="Times New Roman" w:eastAsia="Calibri" w:hAnsi="Times New Roman"/>
          <w:noProof/>
          <w:sz w:val="24"/>
        </w:rPr>
        <w:t xml:space="preserve"> Sedangkan pada jenjang SMP, PIP telah berhasil membantu menurunkan APS dari yang awalnya di tahun ajaran 2015/2016 sebanyak 51</w:t>
      </w:r>
      <w:r w:rsidRPr="004B4ED8">
        <w:rPr>
          <w:rFonts w:ascii="Times New Roman" w:eastAsia="Calibri" w:hAnsi="Times New Roman"/>
          <w:noProof/>
          <w:sz w:val="28"/>
        </w:rPr>
        <w:t>.</w:t>
      </w:r>
      <w:r w:rsidRPr="004B4ED8">
        <w:rPr>
          <w:rFonts w:ascii="Times New Roman" w:eastAsia="Calibri" w:hAnsi="Times New Roman"/>
          <w:noProof/>
          <w:sz w:val="24"/>
        </w:rPr>
        <w:t xml:space="preserve">541 siswa menjadi 15.042 pada tahun 2020. </w:t>
      </w:r>
      <w:r w:rsidRPr="004B4ED8">
        <w:rPr>
          <w:rFonts w:ascii="Times New Roman" w:eastAsia="Calibri" w:hAnsi="Times New Roman"/>
          <w:noProof/>
          <w:color w:val="5B9BD5"/>
          <w:sz w:val="24"/>
        </w:rPr>
        <w:t>(Kemendikbud, 2022)</w:t>
      </w:r>
    </w:p>
    <w:p w14:paraId="2047CFCA" w14:textId="77777777" w:rsidR="004B4ED8" w:rsidRPr="004B4ED8" w:rsidRDefault="004B4ED8" w:rsidP="004B4ED8">
      <w:pPr>
        <w:spacing w:after="160" w:line="259" w:lineRule="auto"/>
        <w:ind w:firstLine="567"/>
        <w:contextualSpacing/>
        <w:jc w:val="both"/>
        <w:rPr>
          <w:rFonts w:ascii="Times New Roman" w:eastAsia="Calibri" w:hAnsi="Times New Roman"/>
          <w:noProof/>
          <w:sz w:val="24"/>
        </w:rPr>
      </w:pPr>
      <w:r w:rsidRPr="004B4ED8">
        <w:rPr>
          <w:rFonts w:ascii="Times New Roman" w:eastAsia="Calibri" w:hAnsi="Times New Roman"/>
          <w:noProof/>
          <w:sz w:val="24"/>
        </w:rPr>
        <w:t>Pada jenjang SMA, PIP juga berhasil menurunkan APS yang awalnya pada tahun ajaran 2015/2016 terdapat sejumlah 40</w:t>
      </w:r>
      <w:r w:rsidRPr="004B4ED8">
        <w:rPr>
          <w:rFonts w:ascii="Times New Roman" w:eastAsia="Calibri" w:hAnsi="Times New Roman"/>
          <w:noProof/>
          <w:sz w:val="28"/>
        </w:rPr>
        <w:t>.</w:t>
      </w:r>
      <w:r w:rsidRPr="004B4ED8">
        <w:rPr>
          <w:rFonts w:ascii="Times New Roman" w:eastAsia="Calibri" w:hAnsi="Times New Roman"/>
          <w:noProof/>
          <w:sz w:val="24"/>
        </w:rPr>
        <w:t>454 siswa menjadi 13.879 di tahun 2020</w:t>
      </w:r>
      <w:r w:rsidRPr="004B4ED8">
        <w:rPr>
          <w:rFonts w:ascii="Times New Roman" w:eastAsia="Calibri" w:hAnsi="Times New Roman"/>
          <w:noProof/>
          <w:sz w:val="28"/>
        </w:rPr>
        <w:t>.</w:t>
      </w:r>
      <w:r w:rsidRPr="004B4ED8">
        <w:rPr>
          <w:rFonts w:ascii="Times New Roman" w:eastAsia="Calibri" w:hAnsi="Times New Roman"/>
          <w:noProof/>
          <w:sz w:val="24"/>
        </w:rPr>
        <w:t xml:space="preserve"> Begitu pula pada SMK, dimana PIP berhasil membantu menurunkan APS dari data awal 77</w:t>
      </w:r>
      <w:r w:rsidRPr="004B4ED8">
        <w:rPr>
          <w:rFonts w:ascii="Times New Roman" w:eastAsia="Calibri" w:hAnsi="Times New Roman"/>
          <w:noProof/>
          <w:sz w:val="28"/>
        </w:rPr>
        <w:t>.</w:t>
      </w:r>
      <w:r w:rsidRPr="004B4ED8">
        <w:rPr>
          <w:rFonts w:ascii="Times New Roman" w:eastAsia="Calibri" w:hAnsi="Times New Roman"/>
          <w:noProof/>
          <w:sz w:val="24"/>
        </w:rPr>
        <w:t xml:space="preserve">899 siswa pada tahun ajaran 2015/2016 menjadi 13.951 pada tahun 2020 </w:t>
      </w:r>
      <w:r w:rsidRPr="004B4ED8">
        <w:rPr>
          <w:rFonts w:ascii="Times New Roman" w:eastAsia="Calibri" w:hAnsi="Times New Roman"/>
          <w:noProof/>
          <w:color w:val="5B9BD5"/>
          <w:sz w:val="24"/>
        </w:rPr>
        <w:t>(Kemendikbud, 2022)</w:t>
      </w:r>
      <w:r w:rsidRPr="004B4ED8">
        <w:rPr>
          <w:rFonts w:ascii="Times New Roman" w:eastAsia="Calibri" w:hAnsi="Times New Roman"/>
          <w:noProof/>
          <w:sz w:val="28"/>
        </w:rPr>
        <w:t>.</w:t>
      </w:r>
    </w:p>
    <w:p w14:paraId="2674CB3A" w14:textId="344B9520" w:rsidR="00CA00BF" w:rsidRPr="004B4ED8" w:rsidRDefault="004B4ED8" w:rsidP="006E1F24">
      <w:pPr>
        <w:spacing w:after="160" w:line="259" w:lineRule="auto"/>
        <w:ind w:firstLine="567"/>
        <w:contextualSpacing/>
        <w:jc w:val="both"/>
        <w:rPr>
          <w:rFonts w:ascii="Times New Roman" w:eastAsia="Calibri" w:hAnsi="Times New Roman"/>
          <w:noProof/>
          <w:sz w:val="24"/>
        </w:rPr>
      </w:pPr>
      <w:r w:rsidRPr="004B4ED8">
        <w:rPr>
          <w:rFonts w:ascii="Times New Roman" w:eastAsia="Calibri" w:hAnsi="Times New Roman"/>
          <w:noProof/>
          <w:sz w:val="24"/>
        </w:rPr>
        <w:t xml:space="preserve">Dilihat dari segi kualitas, dalam jangka panjang Progam Indonesia Pintar dapat membantu peningkatan mutu pendidikan di Indonesia.  Hal ini dapat terjadi karena </w:t>
      </w:r>
      <w:r w:rsidRPr="004B4ED8">
        <w:rPr>
          <w:rFonts w:ascii="Times New Roman" w:eastAsia="Calibri" w:hAnsi="Times New Roman"/>
          <w:noProof/>
          <w:sz w:val="24"/>
        </w:rPr>
        <w:lastRenderedPageBreak/>
        <w:t>semakin banyak siswa yang aktif bersekolah maka akan mampu menghasilkan output pendidikan yang baik juga. Sehingga nantinya akan terbentuk sumber daya manusia yang dapat mendorong tumbuhnya daya saing Indonesia dalam dunia internasional.</w:t>
      </w:r>
    </w:p>
    <w:p w14:paraId="29B152DE" w14:textId="77777777" w:rsidR="004B4ED8" w:rsidRPr="004B4ED8" w:rsidRDefault="004B4ED8" w:rsidP="004B4ED8">
      <w:pPr>
        <w:numPr>
          <w:ilvl w:val="0"/>
          <w:numId w:val="12"/>
        </w:numPr>
        <w:spacing w:after="160" w:line="240" w:lineRule="auto"/>
        <w:ind w:left="851" w:hanging="851"/>
        <w:contextualSpacing/>
        <w:jc w:val="both"/>
        <w:rPr>
          <w:rFonts w:ascii="Times New Roman" w:eastAsia="Calibri" w:hAnsi="Times New Roman"/>
          <w:b/>
          <w:noProof/>
          <w:sz w:val="24"/>
        </w:rPr>
      </w:pPr>
      <w:r w:rsidRPr="004B4ED8">
        <w:rPr>
          <w:rFonts w:ascii="Times New Roman" w:eastAsia="Calibri" w:hAnsi="Times New Roman"/>
          <w:b/>
          <w:noProof/>
          <w:sz w:val="24"/>
          <w:lang w:val="en-US"/>
        </w:rPr>
        <w:t>Program Pembangunan Unit Sekolah Baru</w:t>
      </w:r>
    </w:p>
    <w:p w14:paraId="12C4E664"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5B9BD5"/>
          <w:sz w:val="24"/>
        </w:rPr>
      </w:pPr>
      <w:r w:rsidRPr="004B4ED8">
        <w:rPr>
          <w:rFonts w:ascii="Times New Roman" w:eastAsia="Calibri" w:hAnsi="Times New Roman"/>
          <w:bCs/>
          <w:noProof/>
          <w:sz w:val="24"/>
          <w:lang w:val="en-US"/>
        </w:rPr>
        <w:t>Program USB (Unit Sekolah Baru) merupakan program bantuan langsung pemerintah kepada Dinas Pendidikan Provinsi/Lembaga Pendidikan yang ditujukan untuk pembangunan unit sekolah baru. Program USB memiliki tujuan untuk mendukung wajib belajar 12 tahun; 2. Memenuhi Standar Nasional Pendidikan (SNP); 3. menyediakan sarana dan prasarana pendidikan Sekolah di daerah yang membutuhkan.</w:t>
      </w:r>
      <w:r w:rsidRPr="004B4ED8">
        <w:rPr>
          <w:rFonts w:ascii="Times New Roman" w:eastAsia="Calibri" w:hAnsi="Times New Roman"/>
          <w:noProof/>
          <w:color w:val="5B9BD5"/>
          <w:sz w:val="24"/>
        </w:rPr>
        <w:t xml:space="preserve"> (Kemendikbud, 2019)</w:t>
      </w:r>
    </w:p>
    <w:p w14:paraId="26C758B4" w14:textId="77777777" w:rsidR="004B4ED8" w:rsidRPr="004B4ED8" w:rsidRDefault="004B4ED8" w:rsidP="004B4ED8">
      <w:pPr>
        <w:spacing w:after="160" w:line="240" w:lineRule="auto"/>
        <w:ind w:firstLine="851"/>
        <w:contextualSpacing/>
        <w:jc w:val="both"/>
        <w:rPr>
          <w:rFonts w:ascii="Times New Roman" w:eastAsia="Calibri" w:hAnsi="Times New Roman"/>
          <w:noProof/>
          <w:color w:val="5B9BD5"/>
          <w:sz w:val="24"/>
        </w:rPr>
      </w:pPr>
      <w:r w:rsidRPr="004B4ED8">
        <w:rPr>
          <w:rFonts w:ascii="Times New Roman" w:eastAsia="Calibri" w:hAnsi="Times New Roman"/>
          <w:bCs/>
          <w:noProof/>
          <w:sz w:val="24"/>
        </w:rPr>
        <w:t>Dalam pelaksanaannya program bantuan ini melibatkan berbagai unsur diantaranya Direktorat Pembinaan SD/SMP/SMA/SMK Kemendikbud, Dinas Pendidikan Provinsi, Dinas Pendidikan Kabupaten/Kota, Tim Perencana dan Pengawas, Panitia Pengadaan peralatan dan/perabot, Tim Penerima Hasil Pekerjaan pengadaan USB dan Komite Sekolah. Keseluruh unsur tersebut memiliki perannya masing-masing dalam proses pelaksanaan program.</w:t>
      </w:r>
      <w:r w:rsidRPr="004B4ED8">
        <w:rPr>
          <w:rFonts w:ascii="Times New Roman" w:eastAsia="Calibri" w:hAnsi="Times New Roman"/>
          <w:noProof/>
          <w:color w:val="5B9BD5"/>
          <w:sz w:val="24"/>
        </w:rPr>
        <w:t xml:space="preserve"> (Kemendikbud, 2022)</w:t>
      </w:r>
    </w:p>
    <w:p w14:paraId="48A2CB14" w14:textId="77777777" w:rsidR="004B4ED8" w:rsidRPr="004B4ED8" w:rsidRDefault="004B4ED8" w:rsidP="004B4ED8">
      <w:pPr>
        <w:spacing w:after="0" w:line="240" w:lineRule="auto"/>
        <w:ind w:firstLine="851"/>
        <w:contextualSpacing/>
        <w:jc w:val="both"/>
        <w:rPr>
          <w:rFonts w:ascii="Times New Roman" w:eastAsia="Calibri" w:hAnsi="Times New Roman"/>
          <w:b/>
          <w:noProof/>
          <w:sz w:val="24"/>
        </w:rPr>
      </w:pPr>
      <w:r w:rsidRPr="004B4ED8">
        <w:rPr>
          <w:rFonts w:ascii="Times New Roman" w:eastAsia="Calibri" w:hAnsi="Times New Roman"/>
          <w:bCs/>
          <w:noProof/>
          <w:sz w:val="24"/>
          <w:lang w:val="en-US"/>
        </w:rPr>
        <w:t>Dengan adanya pembangun Sekolah sebagai salah satu sarana Pendidikan khsusnya didaerah yang memiliki APK yang rendah tentunya akan mendorong partisipasi masyarakat dalam memanfaatkan sarana tersebut. Dengan demikian anak-anak usia sekolah  dapat memiliki kesempatan mengakses dan menyelesaikan Pendidikan dasar dan menengah tanpa adanya kendala terkait infrastruktur Pendidikan.</w:t>
      </w:r>
    </w:p>
    <w:p w14:paraId="2855A85E" w14:textId="77777777" w:rsidR="004B4ED8" w:rsidRPr="004B4ED8" w:rsidRDefault="004B4ED8" w:rsidP="004B4ED8">
      <w:pPr>
        <w:spacing w:after="0" w:line="240" w:lineRule="auto"/>
        <w:ind w:firstLine="851"/>
        <w:contextualSpacing/>
        <w:jc w:val="both"/>
        <w:rPr>
          <w:rFonts w:ascii="Times New Roman" w:eastAsia="Calibri" w:hAnsi="Times New Roman"/>
          <w:bCs/>
          <w:noProof/>
          <w:sz w:val="24"/>
        </w:rPr>
      </w:pPr>
      <w:r w:rsidRPr="004B4ED8">
        <w:rPr>
          <w:rFonts w:ascii="Times New Roman" w:eastAsia="Calibri" w:hAnsi="Times New Roman"/>
          <w:bCs/>
          <w:noProof/>
          <w:sz w:val="24"/>
          <w:lang w:val="en-US"/>
        </w:rPr>
        <w:t>Pada jenjang SD selama kurun waktu 201</w:t>
      </w:r>
      <w:r w:rsidRPr="004B4ED8">
        <w:rPr>
          <w:rFonts w:ascii="Times New Roman" w:eastAsia="Calibri" w:hAnsi="Times New Roman"/>
          <w:bCs/>
          <w:noProof/>
          <w:sz w:val="24"/>
        </w:rPr>
        <w:t>7</w:t>
      </w:r>
      <w:r w:rsidRPr="004B4ED8">
        <w:rPr>
          <w:rFonts w:ascii="Times New Roman" w:eastAsia="Calibri" w:hAnsi="Times New Roman"/>
          <w:bCs/>
          <w:noProof/>
          <w:sz w:val="24"/>
          <w:lang w:val="en-US"/>
        </w:rPr>
        <w:t xml:space="preserve">-2019 ada sebanyak </w:t>
      </w:r>
      <w:r w:rsidRPr="004B4ED8">
        <w:rPr>
          <w:rFonts w:ascii="Times New Roman" w:eastAsia="Calibri" w:hAnsi="Times New Roman"/>
          <w:bCs/>
          <w:noProof/>
          <w:sz w:val="24"/>
        </w:rPr>
        <w:t>38</w:t>
      </w:r>
      <w:r w:rsidRPr="004B4ED8">
        <w:rPr>
          <w:rFonts w:ascii="Times New Roman" w:eastAsia="Calibri" w:hAnsi="Times New Roman"/>
          <w:bCs/>
          <w:noProof/>
          <w:sz w:val="24"/>
          <w:lang w:val="en-US"/>
        </w:rPr>
        <w:t xml:space="preserve"> USB dibangun diberbagai provinsi di Indonesia, sedangkan pada jenjang SMP dari 201</w:t>
      </w:r>
      <w:r w:rsidRPr="004B4ED8">
        <w:rPr>
          <w:rFonts w:ascii="Times New Roman" w:eastAsia="Calibri" w:hAnsi="Times New Roman"/>
          <w:bCs/>
          <w:noProof/>
          <w:sz w:val="24"/>
        </w:rPr>
        <w:t>7</w:t>
      </w:r>
      <w:r w:rsidRPr="004B4ED8">
        <w:rPr>
          <w:rFonts w:ascii="Times New Roman" w:eastAsia="Calibri" w:hAnsi="Times New Roman"/>
          <w:bCs/>
          <w:noProof/>
          <w:sz w:val="24"/>
          <w:lang w:val="en-US"/>
        </w:rPr>
        <w:t xml:space="preserve">-2019 ada sebanyak </w:t>
      </w:r>
      <w:r w:rsidRPr="004B4ED8">
        <w:rPr>
          <w:rFonts w:ascii="Times New Roman" w:eastAsia="Calibri" w:hAnsi="Times New Roman"/>
          <w:bCs/>
          <w:noProof/>
          <w:sz w:val="24"/>
        </w:rPr>
        <w:t>110</w:t>
      </w:r>
      <w:r w:rsidRPr="004B4ED8">
        <w:rPr>
          <w:rFonts w:ascii="Times New Roman" w:eastAsia="Calibri" w:hAnsi="Times New Roman"/>
          <w:bCs/>
          <w:noProof/>
          <w:sz w:val="24"/>
          <w:lang w:val="en-US"/>
        </w:rPr>
        <w:t xml:space="preserve"> USB yang dibangun. Pada jenjang SMA </w:t>
      </w:r>
      <w:r w:rsidRPr="004B4ED8">
        <w:rPr>
          <w:rFonts w:ascii="Times New Roman" w:eastAsia="Calibri" w:hAnsi="Times New Roman"/>
          <w:bCs/>
          <w:noProof/>
          <w:sz w:val="24"/>
        </w:rPr>
        <w:t>114</w:t>
      </w:r>
      <w:r w:rsidRPr="004B4ED8">
        <w:rPr>
          <w:rFonts w:ascii="Times New Roman" w:eastAsia="Calibri" w:hAnsi="Times New Roman"/>
          <w:bCs/>
          <w:noProof/>
          <w:sz w:val="24"/>
          <w:lang w:val="en-US"/>
        </w:rPr>
        <w:t xml:space="preserve"> USB telah dibangun dalam kurun waktu 201</w:t>
      </w:r>
      <w:r w:rsidRPr="004B4ED8">
        <w:rPr>
          <w:rFonts w:ascii="Times New Roman" w:eastAsia="Calibri" w:hAnsi="Times New Roman"/>
          <w:bCs/>
          <w:noProof/>
          <w:sz w:val="24"/>
        </w:rPr>
        <w:t>7</w:t>
      </w:r>
      <w:r w:rsidRPr="004B4ED8">
        <w:rPr>
          <w:rFonts w:ascii="Times New Roman" w:eastAsia="Calibri" w:hAnsi="Times New Roman"/>
          <w:bCs/>
          <w:noProof/>
          <w:sz w:val="24"/>
          <w:lang w:val="en-US"/>
        </w:rPr>
        <w:t xml:space="preserve">-2019. </w:t>
      </w:r>
      <w:bookmarkStart w:id="2" w:name="_Hlk105099866"/>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2019)</w:t>
      </w:r>
      <w:bookmarkEnd w:id="2"/>
    </w:p>
    <w:p w14:paraId="7928D96A" w14:textId="77777777" w:rsidR="004B4ED8" w:rsidRPr="004B4ED8" w:rsidRDefault="004B4ED8" w:rsidP="004B4ED8">
      <w:pPr>
        <w:spacing w:after="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Pembangunan USB di atas memiliki pengaruh terhadap APK di Indonesia dimana APK pada tingkatan SD, walaupun mengalami sedikit penurunan dari angka 93,05 pada 2016 menjadi 89,74 pada 2019 bukan menunjukkan kinerja yang rendah. Akan tetapi justru sebaliknya, penurunan tersebut terjadi karena pada jenjang SD lebih banyak dihuni anak usia 7−12 tahun sesuai dengan Permendikbud Nomor 17 tahun 2017 tentang Penerimaan Peserta Didik Baru. Pada jenjang SMP mengalami sedikit kenaikan dari 76,69 pada tahun 2016, menjadi 77,41 di tahun 2019. Sedangkan pada jenjang SMA mengalami peningkatan yang cukup signifkan dari yang awalnya pada tahun 2016 berada pada angka 81,95 menjadi 92,92 di tahun 2019.</w:t>
      </w:r>
      <w:r w:rsidRPr="004B4ED8">
        <w:rPr>
          <w:rFonts w:ascii="Times New Roman" w:eastAsia="Calibri" w:hAnsi="Times New Roman"/>
          <w:bCs/>
          <w:noProof/>
          <w:color w:val="5B9BD5"/>
          <w:sz w:val="24"/>
          <w:lang w:val="en-US"/>
        </w:rPr>
        <w:t xml:space="preserve"> </w:t>
      </w:r>
      <w:bookmarkStart w:id="3" w:name="_Hlk105100056"/>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2019)</w:t>
      </w:r>
      <w:bookmarkEnd w:id="3"/>
    </w:p>
    <w:p w14:paraId="001600B3" w14:textId="7CE2A5DD" w:rsidR="00CA00BF" w:rsidRPr="004B4ED8" w:rsidRDefault="004B4ED8" w:rsidP="006E1F24">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Data tersebut menunjukan bahwa pembangunan USB dapat memberikan kesempatan pendidikan bagi anak-anak usia sekolah di Indonesia. Terbukti dengan naiknya APK setelah sarana Pendidikan ditingkatkan dengan pembangunan unit-unit sekolah baru. Sehingga dengan adanya unit-unit sekolah baru, kuota peserta didik akan bertambah dan pemerataan Pendidikan akan tercipta di Indonesia. Dengan demikian, semakin banyak anak yang mendapatkan Pendidikan akan mendorong naiknya kualitas Pendidikan di Indonesia.</w:t>
      </w:r>
    </w:p>
    <w:p w14:paraId="6C9F4846" w14:textId="77777777" w:rsidR="004B4ED8" w:rsidRPr="004B4ED8" w:rsidRDefault="004B4ED8" w:rsidP="004B4ED8">
      <w:pPr>
        <w:spacing w:after="160" w:line="240" w:lineRule="auto"/>
        <w:ind w:left="851" w:hanging="851"/>
        <w:contextualSpacing/>
        <w:jc w:val="both"/>
        <w:rPr>
          <w:rFonts w:ascii="Times New Roman" w:eastAsia="Calibri" w:hAnsi="Times New Roman"/>
          <w:bCs/>
          <w:noProof/>
          <w:sz w:val="24"/>
          <w:lang w:val="en-US"/>
        </w:rPr>
      </w:pPr>
      <w:r w:rsidRPr="004B4ED8">
        <w:rPr>
          <w:rFonts w:ascii="Times New Roman" w:eastAsia="Calibri" w:hAnsi="Times New Roman"/>
          <w:b/>
          <w:noProof/>
          <w:sz w:val="24"/>
          <w:lang w:val="en-US"/>
        </w:rPr>
        <w:t>3.</w:t>
      </w:r>
      <w:r w:rsidRPr="004B4ED8">
        <w:rPr>
          <w:rFonts w:ascii="Times New Roman" w:eastAsia="Calibri" w:hAnsi="Times New Roman"/>
          <w:bCs/>
          <w:noProof/>
          <w:sz w:val="24"/>
          <w:lang w:val="en-US"/>
        </w:rPr>
        <w:tab/>
      </w:r>
      <w:r w:rsidRPr="004B4ED8">
        <w:rPr>
          <w:rFonts w:ascii="Times New Roman" w:eastAsia="Calibri" w:hAnsi="Times New Roman"/>
          <w:b/>
          <w:noProof/>
          <w:sz w:val="24"/>
          <w:lang w:val="en-US"/>
        </w:rPr>
        <w:t>Program Rehabilitasi Ruang Belajar</w:t>
      </w:r>
    </w:p>
    <w:p w14:paraId="35A4A88E"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rPr>
        <w:t xml:space="preserve">Program Rehabilitas Ruang Belajar merupakan program bantuan langsung pemerintah kepada Dinas Pendidikan Provinsi/Lembaga Pendidikan yang ditujukan untuk melakukan rehabilitasi atau perbaikan ruang-ruang belajar yang rusak dan tidak layakTujuan dari program ini ialah untuk mendukung program Pendidikan Menengah Universal dalam meningkatkan ketersediaan layanan pendidikan dan menuju wajib belajar 12 tahun; Memenuhi Standar Nasional Pendidikan, dan Meningkatkan mutu dan </w:t>
      </w:r>
      <w:r w:rsidRPr="004B4ED8">
        <w:rPr>
          <w:rFonts w:ascii="Times New Roman" w:eastAsia="Calibri" w:hAnsi="Times New Roman"/>
          <w:bCs/>
          <w:noProof/>
          <w:sz w:val="24"/>
        </w:rPr>
        <w:lastRenderedPageBreak/>
        <w:t>kondisi fisik sarana dan prasarana fasilitas pendidikan. sehingga dapat secara langsung mendukung proses pembelajaran di sekolah</w:t>
      </w:r>
      <w:r w:rsidRPr="004B4ED8">
        <w:rPr>
          <w:rFonts w:ascii="Times New Roman" w:eastAsia="Calibri" w:hAnsi="Times New Roman"/>
          <w:bCs/>
          <w:noProof/>
          <w:sz w:val="24"/>
          <w:lang w:val="en-US"/>
        </w:rPr>
        <w:t>.</w:t>
      </w:r>
      <w:r w:rsidRPr="004B4ED8">
        <w:rPr>
          <w:rFonts w:ascii="Times New Roman" w:eastAsia="Calibri" w:hAnsi="Times New Roman"/>
          <w:bCs/>
          <w:noProof/>
          <w:color w:val="5B9BD5"/>
          <w:sz w:val="24"/>
          <w:lang w:val="en-US"/>
        </w:rPr>
        <w:t xml:space="preserve"> </w:t>
      </w:r>
      <w:bookmarkStart w:id="4" w:name="_Hlk105100212"/>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2019)</w:t>
      </w:r>
      <w:bookmarkEnd w:id="4"/>
    </w:p>
    <w:p w14:paraId="08E324A2"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Program perbaikan ruang belajar ini sudah diberlakukan oleh pemerintah bahkan sebelum adanya SDGs itu sendiri, tetapi program ini masih terus dilakukan oleh pemerintah dan juga program ini masih berhubungan dengan target SDGs 4.1 yang intinya adalah menjamin pada tahun 2030 semua anak-anak laki-laki dan perempuan untuk menyelesaikan pendidikan dasar dan menengah dengan setara dan berkualitas. Tentunya penyelesaian pendidikan yang berkualitas seperti yang disebut dalam target 4.1 tidak akan tercapai tanpa adanya prasarana dan sarana pendidikan yang memadai.</w:t>
      </w:r>
    </w:p>
    <w:p w14:paraId="0D01148D"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Pada jenjang SD selama kurun waktu 201</w:t>
      </w:r>
      <w:r w:rsidRPr="004B4ED8">
        <w:rPr>
          <w:rFonts w:ascii="Times New Roman" w:eastAsia="Calibri" w:hAnsi="Times New Roman"/>
          <w:bCs/>
          <w:noProof/>
          <w:sz w:val="24"/>
        </w:rPr>
        <w:t>7</w:t>
      </w:r>
      <w:r w:rsidRPr="004B4ED8">
        <w:rPr>
          <w:rFonts w:ascii="Times New Roman" w:eastAsia="Calibri" w:hAnsi="Times New Roman"/>
          <w:bCs/>
          <w:noProof/>
          <w:sz w:val="24"/>
          <w:lang w:val="en-US"/>
        </w:rPr>
        <w:t>-201</w:t>
      </w:r>
      <w:r w:rsidRPr="004B4ED8">
        <w:rPr>
          <w:rFonts w:ascii="Times New Roman" w:eastAsia="Calibri" w:hAnsi="Times New Roman"/>
          <w:bCs/>
          <w:noProof/>
          <w:sz w:val="24"/>
        </w:rPr>
        <w:t>9</w:t>
      </w:r>
      <w:r w:rsidRPr="004B4ED8">
        <w:rPr>
          <w:rFonts w:ascii="Times New Roman" w:eastAsia="Calibri" w:hAnsi="Times New Roman"/>
          <w:bCs/>
          <w:noProof/>
          <w:sz w:val="24"/>
          <w:lang w:val="en-US"/>
        </w:rPr>
        <w:t xml:space="preserve">  sudah ada sebanyak </w:t>
      </w:r>
      <w:r w:rsidRPr="004B4ED8">
        <w:rPr>
          <w:rFonts w:ascii="Times New Roman" w:eastAsia="Calibri" w:hAnsi="Times New Roman"/>
          <w:bCs/>
          <w:noProof/>
          <w:sz w:val="24"/>
        </w:rPr>
        <w:t>25.749</w:t>
      </w:r>
      <w:r w:rsidRPr="004B4ED8">
        <w:rPr>
          <w:rFonts w:ascii="Times New Roman" w:eastAsia="Calibri" w:hAnsi="Times New Roman"/>
          <w:bCs/>
          <w:noProof/>
          <w:sz w:val="24"/>
          <w:lang w:val="en-US"/>
        </w:rPr>
        <w:t xml:space="preserve"> ruang belajar yang diperbaiki diberbagai sekolah yang tersebar diberbagai provinsi di Indonesia, sedangkan pada jenjang SMP dari 201</w:t>
      </w:r>
      <w:r w:rsidRPr="004B4ED8">
        <w:rPr>
          <w:rFonts w:ascii="Times New Roman" w:eastAsia="Calibri" w:hAnsi="Times New Roman"/>
          <w:bCs/>
          <w:noProof/>
          <w:sz w:val="24"/>
        </w:rPr>
        <w:t>7</w:t>
      </w:r>
      <w:r w:rsidRPr="004B4ED8">
        <w:rPr>
          <w:rFonts w:ascii="Times New Roman" w:eastAsia="Calibri" w:hAnsi="Times New Roman"/>
          <w:bCs/>
          <w:noProof/>
          <w:sz w:val="24"/>
          <w:lang w:val="en-US"/>
        </w:rPr>
        <w:t>-201</w:t>
      </w:r>
      <w:r w:rsidRPr="004B4ED8">
        <w:rPr>
          <w:rFonts w:ascii="Times New Roman" w:eastAsia="Calibri" w:hAnsi="Times New Roman"/>
          <w:bCs/>
          <w:noProof/>
          <w:sz w:val="24"/>
        </w:rPr>
        <w:t>9</w:t>
      </w:r>
      <w:r w:rsidRPr="004B4ED8">
        <w:rPr>
          <w:rFonts w:ascii="Times New Roman" w:eastAsia="Calibri" w:hAnsi="Times New Roman"/>
          <w:bCs/>
          <w:noProof/>
          <w:sz w:val="24"/>
          <w:lang w:val="en-US"/>
        </w:rPr>
        <w:t xml:space="preserve"> ada sebanyak 28.714 ruang belajar yang telah diperbaiki. Pada jenjang SMA sebanyak 8.945 ruang belajar telah direnovasi dalam kurun waktu 201</w:t>
      </w:r>
      <w:r w:rsidRPr="004B4ED8">
        <w:rPr>
          <w:rFonts w:ascii="Times New Roman" w:eastAsia="Calibri" w:hAnsi="Times New Roman"/>
          <w:bCs/>
          <w:noProof/>
          <w:sz w:val="24"/>
        </w:rPr>
        <w:t>7</w:t>
      </w:r>
      <w:r w:rsidRPr="004B4ED8">
        <w:rPr>
          <w:rFonts w:ascii="Times New Roman" w:eastAsia="Calibri" w:hAnsi="Times New Roman"/>
          <w:bCs/>
          <w:noProof/>
          <w:sz w:val="24"/>
          <w:lang w:val="en-US"/>
        </w:rPr>
        <w:t>-201</w:t>
      </w:r>
      <w:r w:rsidRPr="004B4ED8">
        <w:rPr>
          <w:rFonts w:ascii="Times New Roman" w:eastAsia="Calibri" w:hAnsi="Times New Roman"/>
          <w:bCs/>
          <w:noProof/>
          <w:sz w:val="24"/>
        </w:rPr>
        <w:t>9</w:t>
      </w:r>
      <w:r w:rsidRPr="004B4ED8">
        <w:rPr>
          <w:rFonts w:ascii="Times New Roman" w:eastAsia="Calibri" w:hAnsi="Times New Roman"/>
          <w:bCs/>
          <w:noProof/>
          <w:sz w:val="24"/>
          <w:lang w:val="en-US"/>
        </w:rPr>
        <w:t>.</w:t>
      </w:r>
      <w:r w:rsidRPr="004B4ED8">
        <w:rPr>
          <w:rFonts w:ascii="Times New Roman" w:eastAsia="Calibri" w:hAnsi="Times New Roman"/>
          <w:bCs/>
          <w:noProof/>
          <w:color w:val="5B9BD5"/>
          <w:sz w:val="24"/>
          <w:lang w:val="en-US"/>
        </w:rPr>
        <w:t xml:space="preserve"> (</w:t>
      </w:r>
      <w:bookmarkStart w:id="5" w:name="_Hlk105183476"/>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2019)</w:t>
      </w:r>
      <w:bookmarkEnd w:id="5"/>
    </w:p>
    <w:p w14:paraId="58EC38A3" w14:textId="09E5FAEF" w:rsidR="00CA00BF" w:rsidRPr="004B4ED8" w:rsidRDefault="004B4ED8" w:rsidP="006E1F24">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Dengan adanya rehabilitasi ruang belajar ini tentunya akan mendorong peningkatan pelayanan pendidikan dan meningkatkan mutu dan kondisi fisik sarana dan prasana fasilitas pendidikan, sehingga dapat secara langsung mendukung proses pembelajaran di ruang kelas. Dengan demikian peserta didik dapat menikmati proses pembelajaran tanpa adanya kendala terkait ruang kelas yang tidak/kurang memadai, dan hal tersebut akan berujung pada peningkatan kualitas pendidikan di Indonesia.</w:t>
      </w:r>
    </w:p>
    <w:p w14:paraId="68BD25C0" w14:textId="77777777" w:rsidR="004B4ED8" w:rsidRPr="004B4ED8" w:rsidRDefault="004B4ED8" w:rsidP="004B4ED8">
      <w:pPr>
        <w:numPr>
          <w:ilvl w:val="0"/>
          <w:numId w:val="13"/>
        </w:numPr>
        <w:spacing w:after="160" w:line="240" w:lineRule="auto"/>
        <w:ind w:left="851" w:hanging="851"/>
        <w:contextualSpacing/>
        <w:jc w:val="both"/>
        <w:rPr>
          <w:rFonts w:ascii="Times New Roman" w:eastAsia="Calibri" w:hAnsi="Times New Roman"/>
          <w:b/>
          <w:noProof/>
          <w:sz w:val="24"/>
          <w:lang w:val="en-US"/>
        </w:rPr>
      </w:pPr>
      <w:r w:rsidRPr="004B4ED8">
        <w:rPr>
          <w:rFonts w:ascii="Times New Roman" w:eastAsia="Calibri" w:hAnsi="Times New Roman"/>
          <w:b/>
          <w:noProof/>
          <w:sz w:val="24"/>
        </w:rPr>
        <w:t xml:space="preserve">Upaya Kebijakan </w:t>
      </w:r>
      <w:r w:rsidRPr="004B4ED8">
        <w:rPr>
          <w:rFonts w:ascii="Times New Roman" w:eastAsia="Calibri" w:hAnsi="Times New Roman"/>
          <w:b/>
          <w:noProof/>
          <w:sz w:val="24"/>
          <w:lang w:val="en-US"/>
        </w:rPr>
        <w:t>Kualitas Pengajaran dan Pembelajaran</w:t>
      </w:r>
    </w:p>
    <w:p w14:paraId="381B9A01" w14:textId="441D1B2D" w:rsidR="004B4ED8" w:rsidRPr="004B4ED8" w:rsidRDefault="004B4ED8" w:rsidP="006E1F24">
      <w:pPr>
        <w:spacing w:after="160" w:line="240" w:lineRule="auto"/>
        <w:ind w:firstLine="851"/>
        <w:contextualSpacing/>
        <w:jc w:val="both"/>
        <w:rPr>
          <w:rFonts w:ascii="Times New Roman" w:eastAsia="Calibri" w:hAnsi="Times New Roman"/>
          <w:noProof/>
          <w:sz w:val="24"/>
          <w:szCs w:val="24"/>
        </w:rPr>
      </w:pPr>
      <w:r w:rsidRPr="004B4ED8">
        <w:rPr>
          <w:rFonts w:ascii="Times New Roman" w:eastAsia="Calibri" w:hAnsi="Times New Roman"/>
          <w:noProof/>
          <w:color w:val="000000"/>
          <w:sz w:val="24"/>
          <w:szCs w:val="24"/>
        </w:rPr>
        <w:t>P</w:t>
      </w:r>
      <w:r w:rsidRPr="004B4ED8">
        <w:rPr>
          <w:rFonts w:ascii="Times New Roman" w:eastAsia="Calibri" w:hAnsi="Times New Roman"/>
          <w:noProof/>
          <w:color w:val="000000"/>
          <w:sz w:val="24"/>
          <w:szCs w:val="24"/>
          <w:lang w:val="en-US"/>
        </w:rPr>
        <w:t>emerintah mengeluarkan kebijakan program</w:t>
      </w:r>
      <w:r w:rsidRPr="004B4ED8">
        <w:rPr>
          <w:rFonts w:ascii="Times New Roman" w:eastAsia="Calibri" w:hAnsi="Times New Roman"/>
          <w:noProof/>
          <w:color w:val="000000"/>
          <w:sz w:val="24"/>
          <w:szCs w:val="24"/>
        </w:rPr>
        <w:t xml:space="preserve"> </w:t>
      </w:r>
      <w:r w:rsidRPr="004B4ED8">
        <w:rPr>
          <w:rFonts w:ascii="Times New Roman" w:eastAsia="Calibri" w:hAnsi="Times New Roman"/>
          <w:noProof/>
          <w:color w:val="000000"/>
          <w:sz w:val="24"/>
          <w:szCs w:val="24"/>
          <w:lang w:val="en-US"/>
        </w:rPr>
        <w:t xml:space="preserve">yang terkait dengan kualitas pengjaran dan pembelajaran. Di mana kebijakan ini </w:t>
      </w:r>
      <w:r w:rsidRPr="004B4ED8">
        <w:rPr>
          <w:rFonts w:ascii="Times New Roman" w:eastAsia="Calibri" w:hAnsi="Times New Roman"/>
          <w:noProof/>
          <w:color w:val="000000"/>
          <w:sz w:val="24"/>
          <w:szCs w:val="24"/>
        </w:rPr>
        <w:t xml:space="preserve">adalah sebuah </w:t>
      </w:r>
      <w:r w:rsidRPr="004B4ED8">
        <w:rPr>
          <w:rFonts w:ascii="Times New Roman" w:eastAsia="Calibri" w:hAnsi="Times New Roman"/>
          <w:noProof/>
          <w:color w:val="000000"/>
          <w:sz w:val="24"/>
          <w:szCs w:val="24"/>
          <w:lang w:val="en-US"/>
        </w:rPr>
        <w:t xml:space="preserve">kebijakan pembangunan berkelanjutan karena pemerintah berupaya </w:t>
      </w:r>
      <w:r w:rsidRPr="004B4ED8">
        <w:rPr>
          <w:rFonts w:ascii="Times New Roman" w:eastAsia="Calibri" w:hAnsi="Times New Roman"/>
          <w:noProof/>
          <w:sz w:val="24"/>
          <w:szCs w:val="24"/>
          <w:lang w:val="en-US"/>
        </w:rPr>
        <w:t>menyelesaikan masalah d</w:t>
      </w:r>
      <w:r w:rsidRPr="004B4ED8">
        <w:rPr>
          <w:rFonts w:ascii="Times New Roman" w:eastAsia="Calibri" w:hAnsi="Times New Roman"/>
          <w:noProof/>
          <w:sz w:val="24"/>
          <w:szCs w:val="24"/>
        </w:rPr>
        <w:t>alam</w:t>
      </w:r>
      <w:r w:rsidRPr="004B4ED8">
        <w:rPr>
          <w:rFonts w:ascii="Times New Roman" w:eastAsia="Calibri" w:hAnsi="Times New Roman"/>
          <w:noProof/>
          <w:sz w:val="24"/>
          <w:szCs w:val="24"/>
          <w:lang w:val="en-US"/>
        </w:rPr>
        <w:t xml:space="preserve"> </w:t>
      </w:r>
      <w:r w:rsidRPr="004B4ED8">
        <w:rPr>
          <w:rFonts w:ascii="Times New Roman" w:eastAsia="Calibri" w:hAnsi="Times New Roman"/>
          <w:noProof/>
          <w:sz w:val="24"/>
          <w:szCs w:val="24"/>
        </w:rPr>
        <w:t>pendidikan yang di mana pendidikan itu sendiri termasuk kedalam bagian dari pilar sosial dari pembangunan berkelanjutan dan menjadi target ke-4 dalam SDG</w:t>
      </w:r>
      <w:r w:rsidR="006E1F24">
        <w:rPr>
          <w:rFonts w:ascii="Times New Roman" w:eastAsia="Calibri" w:hAnsi="Times New Roman"/>
          <w:noProof/>
          <w:sz w:val="24"/>
          <w:szCs w:val="24"/>
        </w:rPr>
        <w:t>s.</w:t>
      </w:r>
    </w:p>
    <w:p w14:paraId="15EFFB46" w14:textId="77777777" w:rsidR="004B4ED8" w:rsidRPr="004B4ED8" w:rsidRDefault="004B4ED8" w:rsidP="004B4ED8">
      <w:pPr>
        <w:numPr>
          <w:ilvl w:val="0"/>
          <w:numId w:val="15"/>
        </w:numPr>
        <w:spacing w:after="160" w:line="240" w:lineRule="auto"/>
        <w:ind w:left="851" w:hanging="851"/>
        <w:contextualSpacing/>
        <w:jc w:val="both"/>
        <w:rPr>
          <w:rFonts w:ascii="Times New Roman" w:eastAsia="Calibri" w:hAnsi="Times New Roman"/>
          <w:b/>
          <w:noProof/>
          <w:sz w:val="24"/>
          <w:lang w:val="en-US"/>
        </w:rPr>
      </w:pPr>
      <w:r w:rsidRPr="004B4ED8">
        <w:rPr>
          <w:rFonts w:ascii="Times New Roman" w:eastAsia="Calibri" w:hAnsi="Times New Roman"/>
          <w:b/>
          <w:noProof/>
          <w:sz w:val="24"/>
          <w:lang w:val="en-US"/>
        </w:rPr>
        <w:t>Program Profesi Guru</w:t>
      </w:r>
    </w:p>
    <w:p w14:paraId="328756EA" w14:textId="77777777" w:rsidR="004B4ED8" w:rsidRPr="004B4ED8" w:rsidRDefault="004B4ED8" w:rsidP="004B4ED8">
      <w:pPr>
        <w:spacing w:after="160" w:line="240" w:lineRule="auto"/>
        <w:ind w:firstLine="851"/>
        <w:contextualSpacing/>
        <w:jc w:val="both"/>
        <w:rPr>
          <w:rFonts w:ascii="Times New Roman" w:eastAsia="Calibri" w:hAnsi="Times New Roman"/>
          <w:bCs/>
          <w:noProof/>
          <w:color w:val="5B9BD5"/>
          <w:sz w:val="24"/>
        </w:rPr>
      </w:pPr>
      <w:r w:rsidRPr="004B4ED8">
        <w:rPr>
          <w:rFonts w:ascii="Times New Roman" w:eastAsia="Calibri" w:hAnsi="Times New Roman"/>
          <w:bCs/>
          <w:noProof/>
          <w:sz w:val="24"/>
          <w:lang w:val="en-US"/>
        </w:rPr>
        <w:t xml:space="preserve">Tujuan </w:t>
      </w:r>
      <w:r w:rsidRPr="004B4ED8">
        <w:rPr>
          <w:rFonts w:ascii="Times New Roman" w:eastAsia="Calibri" w:hAnsi="Times New Roman"/>
          <w:bCs/>
          <w:noProof/>
          <w:sz w:val="24"/>
        </w:rPr>
        <w:t xml:space="preserve">dari </w:t>
      </w:r>
      <w:r w:rsidRPr="004B4ED8">
        <w:rPr>
          <w:rFonts w:ascii="Times New Roman" w:eastAsia="Calibri" w:hAnsi="Times New Roman"/>
          <w:bCs/>
          <w:noProof/>
          <w:sz w:val="24"/>
          <w:lang w:val="en-US"/>
        </w:rPr>
        <w:t>program Program Profesi Guru</w:t>
      </w:r>
      <w:r w:rsidRPr="004B4ED8">
        <w:rPr>
          <w:rFonts w:ascii="Times New Roman" w:eastAsia="Calibri" w:hAnsi="Times New Roman"/>
          <w:bCs/>
          <w:noProof/>
          <w:sz w:val="24"/>
        </w:rPr>
        <w:t xml:space="preserve"> </w:t>
      </w:r>
      <w:r w:rsidRPr="004B4ED8">
        <w:rPr>
          <w:rFonts w:ascii="Times New Roman" w:eastAsia="Calibri" w:hAnsi="Times New Roman"/>
          <w:bCs/>
          <w:noProof/>
          <w:sz w:val="24"/>
          <w:lang w:val="en-US"/>
        </w:rPr>
        <w:t xml:space="preserve">adalah menghasilkan calon guru/guru yang </w:t>
      </w:r>
      <w:r w:rsidRPr="004B4ED8">
        <w:rPr>
          <w:rFonts w:ascii="Times New Roman" w:eastAsia="Calibri" w:hAnsi="Times New Roman"/>
          <w:bCs/>
          <w:noProof/>
          <w:sz w:val="24"/>
        </w:rPr>
        <w:t>mempunyai</w:t>
      </w:r>
      <w:r w:rsidRPr="004B4ED8">
        <w:rPr>
          <w:rFonts w:ascii="Times New Roman" w:eastAsia="Calibri" w:hAnsi="Times New Roman"/>
          <w:bCs/>
          <w:noProof/>
          <w:sz w:val="24"/>
          <w:lang w:val="en-US"/>
        </w:rPr>
        <w:t xml:space="preserve"> kompetensi dalam merencanakan, </w:t>
      </w:r>
      <w:r w:rsidRPr="004B4ED8">
        <w:rPr>
          <w:rFonts w:ascii="Times New Roman" w:eastAsia="Calibri" w:hAnsi="Times New Roman"/>
          <w:bCs/>
          <w:noProof/>
          <w:sz w:val="24"/>
        </w:rPr>
        <w:t>menjalankan</w:t>
      </w:r>
      <w:r w:rsidRPr="004B4ED8">
        <w:rPr>
          <w:rFonts w:ascii="Times New Roman" w:eastAsia="Calibri" w:hAnsi="Times New Roman"/>
          <w:bCs/>
          <w:noProof/>
          <w:sz w:val="24"/>
          <w:lang w:val="en-US"/>
        </w:rPr>
        <w:t>, dan menilai pembelajaran; menindaklanjuti hasil</w:t>
      </w:r>
      <w:r w:rsidRPr="004B4ED8">
        <w:rPr>
          <w:rFonts w:ascii="Times New Roman" w:eastAsia="Calibri" w:hAnsi="Times New Roman"/>
          <w:bCs/>
          <w:noProof/>
          <w:sz w:val="24"/>
        </w:rPr>
        <w:t xml:space="preserve"> dari</w:t>
      </w:r>
      <w:r w:rsidRPr="004B4ED8">
        <w:rPr>
          <w:rFonts w:ascii="Times New Roman" w:eastAsia="Calibri" w:hAnsi="Times New Roman"/>
          <w:bCs/>
          <w:noProof/>
          <w:sz w:val="24"/>
          <w:lang w:val="en-US"/>
        </w:rPr>
        <w:t xml:space="preserve"> penilaian dengan melakukan pembimbingan, dan pelatihan peserta didik dan mempu melakukan penelitian dan mengembangkan profesionalitas secara berkelanjutan.</w:t>
      </w:r>
      <w:r w:rsidRPr="004B4ED8">
        <w:rPr>
          <w:rFonts w:ascii="Times New Roman" w:eastAsia="Calibri" w:hAnsi="Times New Roman"/>
          <w:bCs/>
          <w:noProof/>
          <w:color w:val="5B9BD5"/>
          <w:sz w:val="24"/>
        </w:rPr>
        <w:t>(UNEJ, 2017)</w:t>
      </w:r>
    </w:p>
    <w:p w14:paraId="0D1E287A"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rPr>
      </w:pPr>
      <w:r w:rsidRPr="004B4ED8">
        <w:rPr>
          <w:rFonts w:ascii="Times New Roman" w:eastAsia="Calibri" w:hAnsi="Times New Roman"/>
          <w:bCs/>
          <w:noProof/>
          <w:sz w:val="24"/>
        </w:rPr>
        <w:t>PPG berlangsung selama 2 semester, di semester pertama kegiatan akademik berupa lokakarya pengembangan perangkat pembelajaran, presentasi hasil pengembangan perangkat pembelajaran, dan peerteaching (tutor sebaya), serta pendalaman atau penguatan materi bidang studi/keahlian. Kegiatan akademik semester kedua berupa PPL (Praktik Pengalaman Lapangan), Penelitian Tindakan Kelas, dan bagi PPG kejuruan ada kegiatan praktik di industri.</w:t>
      </w:r>
      <w:r w:rsidRPr="004B4ED8">
        <w:rPr>
          <w:rFonts w:ascii="Times New Roman" w:eastAsia="Calibri" w:hAnsi="Times New Roman"/>
          <w:bCs/>
          <w:noProof/>
          <w:color w:val="5B9BD5"/>
          <w:sz w:val="24"/>
        </w:rPr>
        <w:t xml:space="preserve">(UNEJ, 2017) </w:t>
      </w:r>
    </w:p>
    <w:p w14:paraId="59037F26" w14:textId="77777777" w:rsidR="004B4ED8" w:rsidRPr="004B4ED8" w:rsidRDefault="004B4ED8" w:rsidP="004B4ED8">
      <w:pPr>
        <w:spacing w:after="0" w:line="240" w:lineRule="auto"/>
        <w:ind w:firstLine="851"/>
        <w:contextualSpacing/>
        <w:jc w:val="both"/>
        <w:rPr>
          <w:rFonts w:ascii="Times New Roman" w:eastAsia="Calibri" w:hAnsi="Times New Roman"/>
          <w:bCs/>
          <w:noProof/>
          <w:color w:val="5B9BD5"/>
          <w:sz w:val="24"/>
        </w:rPr>
      </w:pPr>
      <w:r w:rsidRPr="004B4ED8">
        <w:rPr>
          <w:rFonts w:ascii="Times New Roman" w:eastAsia="Calibri" w:hAnsi="Times New Roman"/>
          <w:bCs/>
          <w:noProof/>
          <w:sz w:val="24"/>
        </w:rPr>
        <w:t>Program PPG diselenggarakan oleh perguruan tinggi yang memiliki program pengadaan pendidik dan tenaga kependidikan yang memenuhi persyaratan dan memperoleh ijin yang ditetapkan oleh Menteri Riset Teknologi dan Pendidikan Tinggi.  Pada tahun 2019, terdapat 63 Perguruan Tinggi yang menyelenggarakan PPG. Sedangkan pada tahun 2022 sudah terdapat sebanyak 75 Perguruan tinggi yang menyelenggarakan PPG dan Perguruan tinggi tersebut tersebar di hampir seluruh provinsi yang ada di Indonesia</w:t>
      </w:r>
      <w:r w:rsidRPr="004B4ED8">
        <w:rPr>
          <w:rFonts w:ascii="Times New Roman" w:eastAsia="Calibri" w:hAnsi="Times New Roman"/>
          <w:bCs/>
          <w:noProof/>
          <w:sz w:val="24"/>
          <w:lang w:val="en-US"/>
        </w:rPr>
        <w:t>.</w:t>
      </w:r>
      <w:r w:rsidRPr="004B4ED8">
        <w:rPr>
          <w:rFonts w:ascii="Times New Roman" w:eastAsia="Calibri" w:hAnsi="Times New Roman"/>
          <w:bCs/>
          <w:noProof/>
          <w:color w:val="5B9BD5"/>
          <w:sz w:val="24"/>
        </w:rPr>
        <w:t>(Tirto, 2022)</w:t>
      </w:r>
    </w:p>
    <w:p w14:paraId="7631C2CC" w14:textId="77777777" w:rsidR="004B4ED8" w:rsidRPr="004B4ED8" w:rsidRDefault="004B4ED8" w:rsidP="004B4ED8">
      <w:pPr>
        <w:spacing w:after="0" w:line="240" w:lineRule="auto"/>
        <w:ind w:firstLine="851"/>
        <w:contextualSpacing/>
        <w:jc w:val="both"/>
        <w:rPr>
          <w:rFonts w:ascii="Times New Roman" w:eastAsia="Calibri" w:hAnsi="Times New Roman"/>
          <w:bCs/>
          <w:noProof/>
          <w:color w:val="5B9BD5"/>
          <w:sz w:val="24"/>
        </w:rPr>
      </w:pPr>
      <w:r w:rsidRPr="004B4ED8">
        <w:rPr>
          <w:rFonts w:ascii="Times New Roman" w:eastAsia="Calibri" w:hAnsi="Times New Roman"/>
          <w:bCs/>
          <w:noProof/>
          <w:sz w:val="24"/>
        </w:rPr>
        <w:t xml:space="preserve">PPG atau Program Profesi Guru sebenarnya sudah berjalan sebelum adanya payung hukum pelaksanaan SDGs di Indonesia, tetapi program ini masih berhubungan dengan target SDGs 4.1 dimana di poin tersebut menjamin penyelesaian pendidikan dasar </w:t>
      </w:r>
      <w:r w:rsidRPr="004B4ED8">
        <w:rPr>
          <w:rFonts w:ascii="Times New Roman" w:eastAsia="Calibri" w:hAnsi="Times New Roman"/>
          <w:bCs/>
          <w:noProof/>
          <w:sz w:val="24"/>
        </w:rPr>
        <w:lastRenderedPageBreak/>
        <w:t>sampai jenjang menengah bagi anak-anak dengan setara dan berkualitas. Dimana kualitas disini tentunya tidak dapat dipisahkan dari peranan guru yang professional dalam menjalankan tugasnya</w:t>
      </w:r>
      <w:r w:rsidRPr="004B4ED8">
        <w:rPr>
          <w:rFonts w:ascii="Times New Roman" w:eastAsia="Calibri" w:hAnsi="Times New Roman"/>
          <w:bCs/>
          <w:noProof/>
          <w:sz w:val="24"/>
          <w:lang w:val="en-US"/>
        </w:rPr>
        <w:t>.</w:t>
      </w:r>
    </w:p>
    <w:p w14:paraId="6E0AFED2"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PPG dapat membantu meningkatkan kemampuan guru sehingga akan membentuk guru-guru yang professional dan berkualitas. Berikut adalah tabel yang menunjukan kemampuan guru sebelum dan sesudah mengikuti PPG:</w:t>
      </w:r>
    </w:p>
    <w:p w14:paraId="36DEC217" w14:textId="77777777" w:rsidR="004B4ED8" w:rsidRPr="004B4ED8" w:rsidRDefault="004B4ED8" w:rsidP="004B4ED8">
      <w:pPr>
        <w:spacing w:after="160" w:line="240" w:lineRule="auto"/>
        <w:ind w:firstLine="851"/>
        <w:contextualSpacing/>
        <w:jc w:val="center"/>
        <w:rPr>
          <w:rFonts w:ascii="Times New Roman" w:eastAsia="Calibri" w:hAnsi="Times New Roman"/>
          <w:bCs/>
          <w:noProof/>
          <w:sz w:val="24"/>
          <w:lang w:val="en-US"/>
        </w:rPr>
      </w:pPr>
      <w:r w:rsidRPr="004B4ED8">
        <w:rPr>
          <w:rFonts w:ascii="Times New Roman" w:eastAsia="Calibri" w:hAnsi="Times New Roman"/>
          <w:bCs/>
          <w:noProof/>
          <w:sz w:val="24"/>
          <w:lang w:val="en-US"/>
        </w:rPr>
        <w:t xml:space="preserve">Tabel </w:t>
      </w:r>
      <w:r w:rsidRPr="004B4ED8">
        <w:rPr>
          <w:rFonts w:ascii="Times New Roman" w:eastAsia="Calibri" w:hAnsi="Times New Roman"/>
          <w:bCs/>
          <w:noProof/>
          <w:sz w:val="24"/>
        </w:rPr>
        <w:t>5</w:t>
      </w:r>
      <w:r w:rsidRPr="004B4ED8">
        <w:rPr>
          <w:rFonts w:ascii="Times New Roman" w:eastAsia="Calibri" w:hAnsi="Times New Roman"/>
          <w:bCs/>
          <w:noProof/>
          <w:sz w:val="24"/>
          <w:lang w:val="en-US"/>
        </w:rPr>
        <w:t xml:space="preserve">  Kemampuan Guru Sebelum dan Sesudah Mengikuti PPG</w:t>
      </w:r>
    </w:p>
    <w:tbl>
      <w:tblPr>
        <w:tblStyle w:val="PlainTable11"/>
        <w:tblW w:w="0" w:type="auto"/>
        <w:tblLook w:val="04A0" w:firstRow="1" w:lastRow="0" w:firstColumn="1" w:lastColumn="0" w:noHBand="0" w:noVBand="1"/>
      </w:tblPr>
      <w:tblGrid>
        <w:gridCol w:w="6230"/>
        <w:gridCol w:w="1097"/>
        <w:gridCol w:w="1070"/>
      </w:tblGrid>
      <w:tr w:rsidR="004B4ED8" w:rsidRPr="004B4ED8" w14:paraId="2B07377B" w14:textId="77777777" w:rsidTr="00AE2B2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C8B351" w14:textId="77777777" w:rsidR="004B4ED8" w:rsidRPr="004B4ED8" w:rsidRDefault="004B4ED8" w:rsidP="004B4ED8">
            <w:pPr>
              <w:spacing w:after="0" w:line="240" w:lineRule="auto"/>
              <w:contextualSpacing/>
              <w:jc w:val="center"/>
              <w:rPr>
                <w:rFonts w:ascii="Times New Roman" w:hAnsi="Times New Roman"/>
                <w:noProof/>
                <w:sz w:val="24"/>
                <w:szCs w:val="24"/>
                <w:lang w:val="en-US"/>
              </w:rPr>
            </w:pPr>
            <w:r w:rsidRPr="004B4ED8">
              <w:rPr>
                <w:rFonts w:ascii="Times New Roman" w:hAnsi="Times New Roman"/>
                <w:noProof/>
                <w:sz w:val="24"/>
                <w:szCs w:val="24"/>
              </w:rPr>
              <w:t>Jenis kemampuan</w:t>
            </w:r>
          </w:p>
        </w:tc>
        <w:tc>
          <w:tcPr>
            <w:tcW w:w="0" w:type="auto"/>
            <w:vAlign w:val="center"/>
          </w:tcPr>
          <w:p w14:paraId="2093DE6E" w14:textId="77777777" w:rsidR="004B4ED8" w:rsidRPr="004B4ED8" w:rsidRDefault="004B4ED8" w:rsidP="004B4ED8">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rPr>
              <w:t>Sebelum</w:t>
            </w:r>
          </w:p>
        </w:tc>
        <w:tc>
          <w:tcPr>
            <w:tcW w:w="0" w:type="auto"/>
            <w:vAlign w:val="center"/>
          </w:tcPr>
          <w:p w14:paraId="63C8D7AF" w14:textId="77777777" w:rsidR="004B4ED8" w:rsidRPr="004B4ED8" w:rsidRDefault="004B4ED8" w:rsidP="004B4ED8">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lang w:val="en-US"/>
              </w:rPr>
              <w:t>Sesudah</w:t>
            </w:r>
          </w:p>
        </w:tc>
      </w:tr>
      <w:tr w:rsidR="004B4ED8" w:rsidRPr="004B4ED8" w14:paraId="3923A4E3" w14:textId="77777777" w:rsidTr="004B4E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E83A88" w14:textId="77777777" w:rsidR="004B4ED8" w:rsidRPr="004B4ED8" w:rsidRDefault="004B4ED8" w:rsidP="004B4ED8">
            <w:pPr>
              <w:spacing w:after="0" w:line="240" w:lineRule="auto"/>
              <w:contextualSpacing/>
              <w:rPr>
                <w:rFonts w:ascii="Times New Roman" w:hAnsi="Times New Roman"/>
                <w:noProof/>
                <w:sz w:val="24"/>
                <w:szCs w:val="24"/>
                <w:lang w:val="en-US"/>
              </w:rPr>
            </w:pPr>
            <w:r w:rsidRPr="004B4ED8">
              <w:rPr>
                <w:rFonts w:ascii="Times New Roman" w:hAnsi="Times New Roman"/>
                <w:noProof/>
                <w:sz w:val="24"/>
                <w:szCs w:val="24"/>
              </w:rPr>
              <w:t>Memahami dan menguasai bahan ajar</w:t>
            </w:r>
          </w:p>
        </w:tc>
        <w:tc>
          <w:tcPr>
            <w:tcW w:w="0" w:type="auto"/>
            <w:vAlign w:val="center"/>
          </w:tcPr>
          <w:p w14:paraId="3E1A4CDF" w14:textId="77777777" w:rsidR="004B4ED8" w:rsidRPr="004B4ED8" w:rsidRDefault="004B4ED8" w:rsidP="004B4ED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rPr>
              <w:t>48,33</w:t>
            </w:r>
          </w:p>
        </w:tc>
        <w:tc>
          <w:tcPr>
            <w:tcW w:w="0" w:type="auto"/>
            <w:vAlign w:val="center"/>
          </w:tcPr>
          <w:p w14:paraId="1203DC35" w14:textId="77777777" w:rsidR="004B4ED8" w:rsidRPr="004B4ED8" w:rsidRDefault="004B4ED8" w:rsidP="004B4ED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91,66</w:t>
            </w:r>
          </w:p>
        </w:tc>
      </w:tr>
      <w:tr w:rsidR="004B4ED8" w:rsidRPr="004B4ED8" w14:paraId="097B02B4" w14:textId="77777777" w:rsidTr="00AE2B20">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7964D2" w14:textId="77777777" w:rsidR="004B4ED8" w:rsidRPr="004B4ED8" w:rsidRDefault="004B4ED8" w:rsidP="004B4ED8">
            <w:pPr>
              <w:spacing w:after="0" w:line="240" w:lineRule="auto"/>
              <w:contextualSpacing/>
              <w:rPr>
                <w:rFonts w:ascii="Times New Roman" w:hAnsi="Times New Roman"/>
                <w:noProof/>
                <w:sz w:val="24"/>
                <w:szCs w:val="24"/>
                <w:lang w:val="en-US"/>
              </w:rPr>
            </w:pPr>
            <w:r w:rsidRPr="004B4ED8">
              <w:rPr>
                <w:rFonts w:ascii="Times New Roman" w:hAnsi="Times New Roman"/>
                <w:noProof/>
                <w:sz w:val="24"/>
                <w:szCs w:val="24"/>
              </w:rPr>
              <w:t>Merencanakan dan mengembangkan program pengajaran</w:t>
            </w:r>
          </w:p>
        </w:tc>
        <w:tc>
          <w:tcPr>
            <w:tcW w:w="0" w:type="auto"/>
            <w:vAlign w:val="center"/>
          </w:tcPr>
          <w:p w14:paraId="771D8349" w14:textId="77777777" w:rsidR="004B4ED8" w:rsidRPr="004B4ED8" w:rsidRDefault="004B4ED8" w:rsidP="004B4ED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rPr>
              <w:t>28,22</w:t>
            </w:r>
          </w:p>
        </w:tc>
        <w:tc>
          <w:tcPr>
            <w:tcW w:w="0" w:type="auto"/>
            <w:vAlign w:val="center"/>
          </w:tcPr>
          <w:p w14:paraId="42426DCC" w14:textId="77777777" w:rsidR="004B4ED8" w:rsidRPr="004B4ED8" w:rsidRDefault="004B4ED8" w:rsidP="004B4ED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78,02</w:t>
            </w:r>
          </w:p>
        </w:tc>
      </w:tr>
      <w:tr w:rsidR="004B4ED8" w:rsidRPr="004B4ED8" w14:paraId="75C7E103" w14:textId="77777777" w:rsidTr="004B4E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2373D4" w14:textId="77777777" w:rsidR="004B4ED8" w:rsidRPr="004B4ED8" w:rsidRDefault="004B4ED8" w:rsidP="004B4ED8">
            <w:pPr>
              <w:spacing w:after="0" w:line="240" w:lineRule="auto"/>
              <w:contextualSpacing/>
              <w:rPr>
                <w:rFonts w:ascii="Times New Roman" w:hAnsi="Times New Roman"/>
                <w:noProof/>
                <w:sz w:val="24"/>
                <w:szCs w:val="24"/>
              </w:rPr>
            </w:pPr>
            <w:r w:rsidRPr="004B4ED8">
              <w:rPr>
                <w:rFonts w:ascii="Times New Roman" w:hAnsi="Times New Roman"/>
                <w:noProof/>
                <w:sz w:val="24"/>
                <w:szCs w:val="24"/>
              </w:rPr>
              <w:t>Mengaktualisasikan PBM yang produktif</w:t>
            </w:r>
          </w:p>
        </w:tc>
        <w:tc>
          <w:tcPr>
            <w:tcW w:w="0" w:type="auto"/>
            <w:vAlign w:val="center"/>
          </w:tcPr>
          <w:p w14:paraId="1E1F6DF3" w14:textId="77777777" w:rsidR="004B4ED8" w:rsidRPr="004B4ED8" w:rsidRDefault="004B4ED8" w:rsidP="004B4ED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rPr>
              <w:t>46,48</w:t>
            </w:r>
          </w:p>
        </w:tc>
        <w:tc>
          <w:tcPr>
            <w:tcW w:w="0" w:type="auto"/>
            <w:vAlign w:val="center"/>
          </w:tcPr>
          <w:p w14:paraId="36C9C644" w14:textId="77777777" w:rsidR="004B4ED8" w:rsidRPr="004B4ED8" w:rsidRDefault="004B4ED8" w:rsidP="004B4ED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94,62</w:t>
            </w:r>
          </w:p>
        </w:tc>
      </w:tr>
      <w:tr w:rsidR="004B4ED8" w:rsidRPr="004B4ED8" w14:paraId="7B2DFB4F" w14:textId="77777777" w:rsidTr="00AE2B20">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1026C8" w14:textId="77777777" w:rsidR="004B4ED8" w:rsidRPr="004B4ED8" w:rsidRDefault="004B4ED8" w:rsidP="004B4ED8">
            <w:pPr>
              <w:spacing w:after="0" w:line="240" w:lineRule="auto"/>
              <w:contextualSpacing/>
              <w:rPr>
                <w:rFonts w:ascii="Times New Roman" w:hAnsi="Times New Roman"/>
                <w:noProof/>
                <w:sz w:val="24"/>
                <w:szCs w:val="24"/>
              </w:rPr>
            </w:pPr>
            <w:r w:rsidRPr="004B4ED8">
              <w:rPr>
                <w:rFonts w:ascii="Times New Roman" w:hAnsi="Times New Roman"/>
                <w:noProof/>
                <w:sz w:val="24"/>
                <w:szCs w:val="24"/>
              </w:rPr>
              <w:t>Memahami dan menggunakan prinsip-prinsip belajar</w:t>
            </w:r>
          </w:p>
        </w:tc>
        <w:tc>
          <w:tcPr>
            <w:tcW w:w="0" w:type="auto"/>
            <w:vAlign w:val="center"/>
          </w:tcPr>
          <w:p w14:paraId="56AC6F57" w14:textId="77777777" w:rsidR="004B4ED8" w:rsidRPr="004B4ED8" w:rsidRDefault="004B4ED8" w:rsidP="004B4ED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rPr>
              <w:t>41,66</w:t>
            </w:r>
          </w:p>
        </w:tc>
        <w:tc>
          <w:tcPr>
            <w:tcW w:w="0" w:type="auto"/>
            <w:vAlign w:val="center"/>
          </w:tcPr>
          <w:p w14:paraId="30384EA6" w14:textId="77777777" w:rsidR="004B4ED8" w:rsidRPr="004B4ED8" w:rsidRDefault="004B4ED8" w:rsidP="004B4ED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93,33</w:t>
            </w:r>
          </w:p>
        </w:tc>
      </w:tr>
      <w:tr w:rsidR="004B4ED8" w:rsidRPr="004B4ED8" w14:paraId="15E47F54" w14:textId="77777777" w:rsidTr="004B4ED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0F1111" w14:textId="77777777" w:rsidR="004B4ED8" w:rsidRPr="004B4ED8" w:rsidRDefault="004B4ED8" w:rsidP="004B4ED8">
            <w:pPr>
              <w:spacing w:after="0" w:line="240" w:lineRule="auto"/>
              <w:contextualSpacing/>
              <w:rPr>
                <w:rFonts w:ascii="Times New Roman" w:hAnsi="Times New Roman"/>
                <w:noProof/>
                <w:sz w:val="24"/>
                <w:szCs w:val="24"/>
              </w:rPr>
            </w:pPr>
            <w:r w:rsidRPr="004B4ED8">
              <w:rPr>
                <w:rFonts w:ascii="Times New Roman" w:hAnsi="Times New Roman"/>
                <w:noProof/>
                <w:sz w:val="24"/>
                <w:szCs w:val="24"/>
              </w:rPr>
              <w:t>Menilai proses hasil belajar siswa</w:t>
            </w:r>
          </w:p>
        </w:tc>
        <w:tc>
          <w:tcPr>
            <w:tcW w:w="0" w:type="auto"/>
            <w:vAlign w:val="center"/>
          </w:tcPr>
          <w:p w14:paraId="130E8D53" w14:textId="77777777" w:rsidR="004B4ED8" w:rsidRPr="004B4ED8" w:rsidRDefault="004B4ED8" w:rsidP="004B4ED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val="en-US"/>
              </w:rPr>
            </w:pPr>
            <w:r w:rsidRPr="004B4ED8">
              <w:rPr>
                <w:rFonts w:ascii="Times New Roman" w:hAnsi="Times New Roman"/>
                <w:noProof/>
                <w:sz w:val="24"/>
                <w:szCs w:val="24"/>
              </w:rPr>
              <w:t>43,33</w:t>
            </w:r>
          </w:p>
        </w:tc>
        <w:tc>
          <w:tcPr>
            <w:tcW w:w="0" w:type="auto"/>
            <w:vAlign w:val="center"/>
          </w:tcPr>
          <w:p w14:paraId="30505BF4" w14:textId="77777777" w:rsidR="004B4ED8" w:rsidRPr="004B4ED8" w:rsidRDefault="004B4ED8" w:rsidP="004B4ED8">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95</w:t>
            </w:r>
          </w:p>
        </w:tc>
      </w:tr>
      <w:tr w:rsidR="004B4ED8" w:rsidRPr="004B4ED8" w14:paraId="66A077C4" w14:textId="77777777" w:rsidTr="00AE2B20">
        <w:trPr>
          <w:trHeight w:val="22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F56B44" w14:textId="77777777" w:rsidR="004B4ED8" w:rsidRPr="004B4ED8" w:rsidRDefault="004B4ED8" w:rsidP="004B4ED8">
            <w:pPr>
              <w:spacing w:after="0" w:line="240" w:lineRule="auto"/>
              <w:contextualSpacing/>
              <w:rPr>
                <w:rFonts w:ascii="Times New Roman" w:hAnsi="Times New Roman"/>
                <w:noProof/>
                <w:sz w:val="24"/>
                <w:szCs w:val="24"/>
              </w:rPr>
            </w:pPr>
            <w:r w:rsidRPr="004B4ED8">
              <w:rPr>
                <w:rFonts w:ascii="Times New Roman" w:hAnsi="Times New Roman"/>
                <w:noProof/>
                <w:sz w:val="24"/>
                <w:szCs w:val="24"/>
              </w:rPr>
              <w:t>Rata-rata</w:t>
            </w:r>
          </w:p>
        </w:tc>
        <w:tc>
          <w:tcPr>
            <w:tcW w:w="0" w:type="auto"/>
            <w:vAlign w:val="center"/>
          </w:tcPr>
          <w:p w14:paraId="572100EB" w14:textId="77777777" w:rsidR="004B4ED8" w:rsidRPr="004B4ED8" w:rsidRDefault="004B4ED8" w:rsidP="004B4ED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41,40</w:t>
            </w:r>
          </w:p>
        </w:tc>
        <w:tc>
          <w:tcPr>
            <w:tcW w:w="0" w:type="auto"/>
            <w:vAlign w:val="center"/>
          </w:tcPr>
          <w:p w14:paraId="282D22E5" w14:textId="77777777" w:rsidR="004B4ED8" w:rsidRPr="004B4ED8" w:rsidRDefault="004B4ED8" w:rsidP="004B4ED8">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4B4ED8">
              <w:rPr>
                <w:rFonts w:ascii="Times New Roman" w:hAnsi="Times New Roman"/>
                <w:noProof/>
                <w:sz w:val="24"/>
                <w:szCs w:val="24"/>
              </w:rPr>
              <w:t>90,52</w:t>
            </w:r>
          </w:p>
        </w:tc>
      </w:tr>
    </w:tbl>
    <w:p w14:paraId="351F8C78" w14:textId="77777777" w:rsidR="004B4ED8" w:rsidRPr="004B4ED8" w:rsidRDefault="004B4ED8" w:rsidP="004B4ED8">
      <w:pPr>
        <w:spacing w:after="160" w:line="240" w:lineRule="auto"/>
        <w:contextualSpacing/>
        <w:jc w:val="center"/>
        <w:rPr>
          <w:rFonts w:ascii="Times New Roman" w:eastAsia="Calibri" w:hAnsi="Times New Roman"/>
          <w:bCs/>
          <w:noProof/>
          <w:sz w:val="24"/>
          <w:lang w:val="en-US"/>
        </w:rPr>
      </w:pPr>
      <w:r w:rsidRPr="004B4ED8">
        <w:rPr>
          <w:rFonts w:ascii="Times New Roman" w:eastAsia="Calibri" w:hAnsi="Times New Roman"/>
          <w:bCs/>
          <w:noProof/>
          <w:color w:val="5B9BD5"/>
          <w:sz w:val="24"/>
          <w:lang w:val="en-US"/>
        </w:rPr>
        <w:t>Halimah,</w:t>
      </w:r>
      <w:r w:rsidRPr="004B4ED8">
        <w:rPr>
          <w:rFonts w:ascii="Times New Roman" w:eastAsia="Calibri" w:hAnsi="Times New Roman"/>
          <w:bCs/>
          <w:noProof/>
          <w:color w:val="5B9BD5"/>
          <w:sz w:val="24"/>
        </w:rPr>
        <w:t xml:space="preserve"> </w:t>
      </w:r>
      <w:r w:rsidRPr="004B4ED8">
        <w:rPr>
          <w:rFonts w:ascii="Times New Roman" w:eastAsia="Calibri" w:hAnsi="Times New Roman"/>
          <w:bCs/>
          <w:noProof/>
          <w:color w:val="5B9BD5"/>
          <w:sz w:val="24"/>
          <w:lang w:val="en-US"/>
        </w:rPr>
        <w:t>2010</w:t>
      </w:r>
    </w:p>
    <w:p w14:paraId="5535B813" w14:textId="2BA87905" w:rsidR="00CA00BF" w:rsidRPr="004B4ED8" w:rsidRDefault="004B4ED8" w:rsidP="006E1F24">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Tabel tersebut menunjukan perbedaan yang signifikan terhadap perkembangan dan kompetensi atau kemampuan guru sebelum dan sudah melalui PPG</w:t>
      </w:r>
      <w:r w:rsidRPr="004B4ED8">
        <w:rPr>
          <w:rFonts w:ascii="Times New Roman" w:eastAsia="Calibri" w:hAnsi="Times New Roman"/>
          <w:bCs/>
          <w:noProof/>
          <w:sz w:val="24"/>
        </w:rPr>
        <w:t>. D</w:t>
      </w:r>
      <w:r w:rsidRPr="004B4ED8">
        <w:rPr>
          <w:rFonts w:ascii="Times New Roman" w:eastAsia="Calibri" w:hAnsi="Times New Roman"/>
          <w:bCs/>
          <w:noProof/>
          <w:sz w:val="24"/>
          <w:lang w:val="en-US"/>
        </w:rPr>
        <w:t>alam meningkatkan mutu pendidikan kualitas guru berbanding lurus dengan mutu Pendidikan. Semakin baik kualitas atau kompetensi guru akan semakin baik pula kualitas Pendidikan.  Dengan demikian dapat disimpulkan melalui PPG ini akan lahir tenaga pendidik yang professional sehingga dapat meningkatkan kualitas Pendidikan di Indonesia.</w:t>
      </w:r>
    </w:p>
    <w:p w14:paraId="7D12A0DD" w14:textId="77777777" w:rsidR="004B4ED8" w:rsidRPr="004B4ED8" w:rsidRDefault="004B4ED8" w:rsidP="004B4ED8">
      <w:pPr>
        <w:numPr>
          <w:ilvl w:val="0"/>
          <w:numId w:val="15"/>
        </w:numPr>
        <w:spacing w:after="160" w:line="240" w:lineRule="auto"/>
        <w:ind w:left="851" w:hanging="851"/>
        <w:contextualSpacing/>
        <w:jc w:val="both"/>
        <w:rPr>
          <w:rFonts w:ascii="Times New Roman" w:eastAsia="Calibri" w:hAnsi="Times New Roman"/>
          <w:b/>
          <w:noProof/>
          <w:sz w:val="24"/>
          <w:lang w:val="en-US"/>
        </w:rPr>
      </w:pPr>
      <w:r w:rsidRPr="004B4ED8">
        <w:rPr>
          <w:rFonts w:ascii="Times New Roman" w:eastAsia="Calibri" w:hAnsi="Times New Roman"/>
          <w:b/>
          <w:noProof/>
          <w:sz w:val="24"/>
          <w:lang w:val="en-US"/>
        </w:rPr>
        <w:t>Gerakan Literasi Sekolah</w:t>
      </w:r>
    </w:p>
    <w:p w14:paraId="4EB239EB" w14:textId="77777777" w:rsidR="004B4ED8" w:rsidRPr="004B4ED8" w:rsidRDefault="004B4ED8" w:rsidP="004B4ED8">
      <w:pPr>
        <w:spacing w:after="160" w:line="240" w:lineRule="auto"/>
        <w:ind w:firstLine="851"/>
        <w:contextualSpacing/>
        <w:jc w:val="both"/>
        <w:rPr>
          <w:rFonts w:ascii="Times New Roman" w:eastAsia="Calibri" w:hAnsi="Times New Roman"/>
          <w:bCs/>
          <w:noProof/>
          <w:color w:val="5B9BD5"/>
          <w:sz w:val="24"/>
        </w:rPr>
      </w:pPr>
      <w:r w:rsidRPr="004B4ED8">
        <w:rPr>
          <w:rFonts w:ascii="Times New Roman" w:eastAsia="Calibri" w:hAnsi="Times New Roman"/>
          <w:bCs/>
          <w:noProof/>
          <w:sz w:val="24"/>
          <w:lang w:val="en-US"/>
        </w:rPr>
        <w:t>Gerakan Literasi Sekolah merupakan suatu usaha atau kegiatan yang bersifat partisipatif dengan melibatkan warga sekolah (peserta didik, guru, kepala sekolah, tenaga kependidikan, pengawas sekolah, Komite Sekolah, orang tua/wali murid peserta didik), akademisi, penerbit, media massa, masyarakat (tokoh masyarakat yang dapat merepresentasikan keteladanan, dunia usaha, dll.), dan pemangku kepentingan di bawah koordinasi Direktorat Jenderal Pendidikan Dasar dan Menengah Kementerian Pendidikan dan Kebudayaan.</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2018)</w:t>
      </w:r>
    </w:p>
    <w:p w14:paraId="2664BB1F" w14:textId="77777777" w:rsidR="004B4ED8" w:rsidRPr="004B4ED8" w:rsidRDefault="004B4ED8" w:rsidP="004B4ED8">
      <w:pPr>
        <w:spacing w:after="160" w:line="240" w:lineRule="auto"/>
        <w:ind w:firstLine="851"/>
        <w:contextualSpacing/>
        <w:jc w:val="both"/>
        <w:rPr>
          <w:rFonts w:ascii="Times New Roman" w:eastAsia="Calibri" w:hAnsi="Times New Roman"/>
          <w:bCs/>
          <w:noProof/>
          <w:color w:val="5B9BD5"/>
          <w:sz w:val="24"/>
        </w:rPr>
      </w:pPr>
      <w:r w:rsidRPr="004B4ED8">
        <w:rPr>
          <w:rFonts w:ascii="Times New Roman" w:eastAsia="Calibri" w:hAnsi="Times New Roman"/>
          <w:bCs/>
          <w:noProof/>
          <w:sz w:val="24"/>
          <w:lang w:val="en-US"/>
        </w:rPr>
        <w:t>Kegiatan GLS ditujukan bagi pemantapan Kurikulum 2013 bagi semua mata pelajaran dengan menerapkan strategi literasi dalam pembelajaran dengan merujuk pada HOTS  (</w:t>
      </w:r>
      <w:r w:rsidRPr="004B4ED8">
        <w:rPr>
          <w:rFonts w:ascii="Times New Roman" w:eastAsia="Calibri" w:hAnsi="Times New Roman"/>
          <w:bCs/>
          <w:i/>
          <w:iCs/>
          <w:noProof/>
          <w:sz w:val="24"/>
          <w:lang w:val="en-US"/>
        </w:rPr>
        <w:t>higher order thinking skills</w:t>
      </w:r>
      <w:r w:rsidRPr="004B4ED8">
        <w:rPr>
          <w:rFonts w:ascii="Times New Roman" w:eastAsia="Calibri" w:hAnsi="Times New Roman"/>
          <w:bCs/>
          <w:noProof/>
          <w:sz w:val="24"/>
          <w:lang w:val="en-US"/>
        </w:rPr>
        <w:t>), atau keterampilan bernalar tingkat tinggi, kompetensi abad 21 (kemampuan berpikir kritis, kreatif, komunikatif, dan kolaboratif), dan penguatan pendidikan karakter.</w:t>
      </w:r>
      <w:r w:rsidRPr="004B4ED8">
        <w:rPr>
          <w:rFonts w:ascii="Times New Roman" w:eastAsia="Calibri" w:hAnsi="Times New Roman"/>
          <w:bCs/>
          <w:noProof/>
          <w:color w:val="5B9BD5"/>
          <w:sz w:val="24"/>
        </w:rPr>
        <w:t xml:space="preserve"> (</w:t>
      </w:r>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2018)</w:t>
      </w:r>
    </w:p>
    <w:p w14:paraId="016B6A6F" w14:textId="77777777" w:rsidR="004B4ED8" w:rsidRPr="004B4ED8" w:rsidRDefault="004B4ED8" w:rsidP="004B4ED8">
      <w:pPr>
        <w:spacing w:after="160" w:line="240" w:lineRule="auto"/>
        <w:ind w:firstLine="851"/>
        <w:contextualSpacing/>
        <w:jc w:val="both"/>
        <w:rPr>
          <w:rFonts w:ascii="Times New Roman" w:eastAsia="Calibri" w:hAnsi="Times New Roman"/>
          <w:bCs/>
          <w:noProof/>
          <w:color w:val="5B9BD5"/>
          <w:sz w:val="24"/>
        </w:rPr>
      </w:pPr>
      <w:r w:rsidRPr="004B4ED8">
        <w:rPr>
          <w:rFonts w:ascii="Times New Roman" w:eastAsia="Calibri" w:hAnsi="Times New Roman"/>
          <w:bCs/>
          <w:noProof/>
          <w:sz w:val="24"/>
          <w:lang w:val="en-US"/>
        </w:rPr>
        <w:t>Pelaksana program atau gerakan ini ialah TLS (Tim Literasi Sekolah) yang terdiri dari seluruh komponen warga sekolah yang tergabung dalam Tim di bawah koordinasi kepala sekolah dan dikuatkan dengan SK kepala sekolah. TLS  memiliki tugas untuk membuat perencanaan, pelaksanaan, dan asesmen program. TLS harus dapat memastikan terciptanya suasana akademis yang kondusif, yang mampu membuat seluruh anggota komunitas sekolah antusias untuk belajar.</w:t>
      </w:r>
      <w:r w:rsidRPr="004B4ED8">
        <w:rPr>
          <w:rFonts w:ascii="Times New Roman" w:eastAsia="Calibri" w:hAnsi="Times New Roman"/>
          <w:bCs/>
          <w:noProof/>
          <w:color w:val="5B9BD5"/>
          <w:sz w:val="24"/>
        </w:rPr>
        <w:t xml:space="preserve"> (</w:t>
      </w:r>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2018)</w:t>
      </w:r>
    </w:p>
    <w:p w14:paraId="10DED375"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Gerakan Literasi Sekolah merupakan program yang sudah berjalan dari tahun 2016 sebelum terbentuknya payung hukum SDGs di Indonesia, tetapi program ini terus berjalan dan memiliki target yang sejalan seperti target SDGs 4.5 yang berbunyi “Pada tahun 2030, menjamin bahwa semua remaja dan proporsi kelompok dewasa tertentu, baik laki-laki maupun perempuan, memiliki kemampuan literasi dan numerasi”.</w:t>
      </w:r>
    </w:p>
    <w:p w14:paraId="1D0F0408" w14:textId="79378F54" w:rsidR="00CA00BF" w:rsidRPr="004B4ED8" w:rsidRDefault="004B4ED8" w:rsidP="006E1F24">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 xml:space="preserve">Dengan dijalankannya GLS akan mendorong peningkatan </w:t>
      </w:r>
      <w:r w:rsidRPr="004B4ED8">
        <w:rPr>
          <w:rFonts w:ascii="Times New Roman" w:eastAsia="Calibri" w:hAnsi="Times New Roman"/>
          <w:bCs/>
          <w:i/>
          <w:iCs/>
          <w:noProof/>
          <w:sz w:val="24"/>
          <w:lang w:val="en-US"/>
        </w:rPr>
        <w:t>higher order thinking skills</w:t>
      </w:r>
      <w:r w:rsidRPr="004B4ED8">
        <w:rPr>
          <w:rFonts w:ascii="Times New Roman" w:eastAsia="Calibri" w:hAnsi="Times New Roman"/>
          <w:bCs/>
          <w:noProof/>
          <w:sz w:val="24"/>
          <w:lang w:val="en-US"/>
        </w:rPr>
        <w:t xml:space="preserve">, atau keterampilan bernalar tingkat tinggi, sebuah keterampilan yang sangat penting pada kompetensi abad 21 seperti kemampuan berpikir kritis, kreatif, komunikatif, dan </w:t>
      </w:r>
      <w:r w:rsidRPr="004B4ED8">
        <w:rPr>
          <w:rFonts w:ascii="Times New Roman" w:eastAsia="Calibri" w:hAnsi="Times New Roman"/>
          <w:bCs/>
          <w:noProof/>
          <w:sz w:val="24"/>
          <w:lang w:val="en-US"/>
        </w:rPr>
        <w:lastRenderedPageBreak/>
        <w:t>kolaboratif. Dengan meningkatnya keterampilan tadi tentunya akan membantu peserta didik dalam proses belajar dan hal tersebut akan berujung pada sebuah output berupa meningkatnya kualitas Pendidikan di Indonesia.</w:t>
      </w:r>
    </w:p>
    <w:p w14:paraId="211D63AD" w14:textId="77777777" w:rsidR="004B4ED8" w:rsidRPr="004B4ED8" w:rsidRDefault="004B4ED8" w:rsidP="004B4ED8">
      <w:pPr>
        <w:numPr>
          <w:ilvl w:val="0"/>
          <w:numId w:val="13"/>
        </w:numPr>
        <w:spacing w:after="160" w:line="240" w:lineRule="auto"/>
        <w:ind w:left="851" w:hanging="851"/>
        <w:contextualSpacing/>
        <w:jc w:val="both"/>
        <w:rPr>
          <w:rFonts w:ascii="Times New Roman" w:eastAsia="Calibri" w:hAnsi="Times New Roman"/>
          <w:b/>
          <w:noProof/>
          <w:sz w:val="24"/>
          <w:lang w:val="en-US"/>
        </w:rPr>
      </w:pPr>
      <w:r w:rsidRPr="004B4ED8">
        <w:rPr>
          <w:rFonts w:ascii="Times New Roman" w:eastAsia="Calibri" w:hAnsi="Times New Roman"/>
          <w:b/>
          <w:noProof/>
          <w:sz w:val="24"/>
        </w:rPr>
        <w:t xml:space="preserve">Upaya Kebijakan </w:t>
      </w:r>
      <w:r w:rsidRPr="004B4ED8">
        <w:rPr>
          <w:rFonts w:ascii="Times New Roman" w:eastAsia="Calibri" w:hAnsi="Times New Roman"/>
          <w:b/>
          <w:noProof/>
          <w:sz w:val="24"/>
          <w:lang w:val="en-US"/>
        </w:rPr>
        <w:t>Keterampilan, Vokasi, dan Kemampuan Kerja</w:t>
      </w:r>
    </w:p>
    <w:p w14:paraId="4B79914A" w14:textId="5DDD9ECF" w:rsidR="00CA00BF" w:rsidRPr="004B4ED8" w:rsidRDefault="004B4ED8" w:rsidP="006E1F24">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rPr>
        <w:t>P</w:t>
      </w:r>
      <w:r w:rsidRPr="004B4ED8">
        <w:rPr>
          <w:rFonts w:ascii="Times New Roman" w:eastAsia="Calibri" w:hAnsi="Times New Roman"/>
          <w:bCs/>
          <w:noProof/>
          <w:sz w:val="24"/>
          <w:lang w:val="en-US"/>
        </w:rPr>
        <w:t>emerintah mengeluarkan kebijakan program terkait</w:t>
      </w:r>
      <w:r w:rsidRPr="004B4ED8">
        <w:rPr>
          <w:rFonts w:ascii="Times New Roman" w:eastAsia="Calibri" w:hAnsi="Times New Roman"/>
          <w:bCs/>
          <w:noProof/>
          <w:sz w:val="24"/>
        </w:rPr>
        <w:t xml:space="preserve"> </w:t>
      </w:r>
      <w:r w:rsidRPr="004B4ED8">
        <w:rPr>
          <w:rFonts w:ascii="Times New Roman" w:eastAsia="Calibri" w:hAnsi="Times New Roman"/>
          <w:bCs/>
          <w:noProof/>
          <w:sz w:val="24"/>
          <w:lang w:val="en-US"/>
        </w:rPr>
        <w:t>pendidikan. Di mana kebijakan ini merupakan kebijakan pembangunan berkelanjutan karena  pemerintah berupaya menyelesaikan masalah di bidang pendidikan yang merupakan salah satu bagian dari pilar sosial dalam pembangunan berkelanjutan yang di mana pendidikan menjadi target SDGs ke 4 (Kualitas Pendidikan)</w:t>
      </w:r>
    </w:p>
    <w:p w14:paraId="45FF1AD0" w14:textId="77777777" w:rsidR="004B4ED8" w:rsidRPr="004B4ED8" w:rsidRDefault="004B4ED8" w:rsidP="004B4ED8">
      <w:pPr>
        <w:numPr>
          <w:ilvl w:val="0"/>
          <w:numId w:val="16"/>
        </w:numPr>
        <w:spacing w:after="160" w:line="240" w:lineRule="auto"/>
        <w:ind w:left="851" w:hanging="851"/>
        <w:contextualSpacing/>
        <w:jc w:val="both"/>
        <w:rPr>
          <w:rFonts w:ascii="Times New Roman" w:eastAsia="Calibri" w:hAnsi="Times New Roman"/>
          <w:b/>
          <w:noProof/>
          <w:sz w:val="24"/>
          <w:lang w:val="en-US"/>
        </w:rPr>
      </w:pPr>
      <w:r w:rsidRPr="004B4ED8">
        <w:rPr>
          <w:rFonts w:ascii="Times New Roman" w:eastAsia="Calibri" w:hAnsi="Times New Roman"/>
          <w:b/>
          <w:noProof/>
          <w:sz w:val="24"/>
          <w:lang w:val="en-US"/>
        </w:rPr>
        <w:t>Program Revitalisasi SMK</w:t>
      </w:r>
    </w:p>
    <w:p w14:paraId="66B46D5C" w14:textId="77777777" w:rsidR="004B4ED8" w:rsidRPr="004B4ED8" w:rsidRDefault="004B4ED8" w:rsidP="004B4ED8">
      <w:pPr>
        <w:spacing w:after="160" w:line="240" w:lineRule="auto"/>
        <w:ind w:firstLine="851"/>
        <w:contextualSpacing/>
        <w:jc w:val="both"/>
        <w:rPr>
          <w:rFonts w:ascii="Times New Roman" w:eastAsia="Calibri" w:hAnsi="Times New Roman"/>
          <w:noProof/>
          <w:sz w:val="24"/>
          <w:szCs w:val="24"/>
          <w:lang w:val="en-US"/>
        </w:rPr>
      </w:pPr>
      <w:r w:rsidRPr="004B4ED8">
        <w:rPr>
          <w:rFonts w:ascii="Times New Roman" w:eastAsia="Calibri" w:hAnsi="Times New Roman"/>
          <w:noProof/>
          <w:sz w:val="24"/>
          <w:szCs w:val="24"/>
        </w:rPr>
        <w:t xml:space="preserve">Program Revitalisasi SMK berawal dari Instruksi Presiden Nomor 9 tahun 2016 tentang Revitalisasi Sekolah Menengah Kejuruan, dalam Inpres tersebut menginstruksikan kepada seluruh instansi pemerintah yang membidangi sekolah menengah kejuruan di Indonesia untuk melakukan pembenahan sistem pendidikan dan pelatihan kejuruan dengan mempertimbangkan kebutuhan pasar. Dalam instruksi Presiden, revitalisasi sekolah kejuruan merupakan salah satu langkah konkrit untuk meningkatkan kualitas </w:t>
      </w:r>
      <w:r w:rsidRPr="004B4ED8">
        <w:rPr>
          <w:rFonts w:ascii="Times New Roman" w:eastAsia="Calibri" w:hAnsi="Times New Roman"/>
          <w:noProof/>
          <w:sz w:val="24"/>
          <w:szCs w:val="24"/>
          <w:lang w:val="en-US"/>
        </w:rPr>
        <w:t>SDM</w:t>
      </w:r>
      <w:r w:rsidRPr="004B4ED8">
        <w:rPr>
          <w:rFonts w:ascii="Times New Roman" w:eastAsia="Calibri" w:hAnsi="Times New Roman"/>
          <w:noProof/>
          <w:sz w:val="24"/>
          <w:szCs w:val="24"/>
        </w:rPr>
        <w:t xml:space="preserve"> di Indonesia dalam menghadapi perubahan dunia di era revolusi industri keempat yang menuntut pemanfaatan teknologi</w:t>
      </w:r>
      <w:r w:rsidRPr="004B4ED8">
        <w:rPr>
          <w:rFonts w:ascii="Times New Roman" w:eastAsia="Calibri" w:hAnsi="Times New Roman"/>
          <w:noProof/>
          <w:sz w:val="24"/>
          <w:szCs w:val="24"/>
          <w:lang w:val="en-US"/>
        </w:rPr>
        <w:t>.</w:t>
      </w:r>
      <w:r w:rsidRPr="004B4ED8">
        <w:rPr>
          <w:rFonts w:ascii="Times New Roman" w:eastAsia="Calibri" w:hAnsi="Times New Roman"/>
          <w:bCs/>
          <w:noProof/>
          <w:color w:val="5B9BD5"/>
          <w:sz w:val="24"/>
        </w:rPr>
        <w:t xml:space="preserve"> </w:t>
      </w:r>
      <w:bookmarkStart w:id="6" w:name="_Hlk109230098"/>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2018)</w:t>
      </w:r>
      <w:bookmarkEnd w:id="6"/>
    </w:p>
    <w:p w14:paraId="32D44D6C"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rPr>
      </w:pPr>
      <w:r w:rsidRPr="004B4ED8">
        <w:rPr>
          <w:rFonts w:ascii="Times New Roman" w:eastAsia="Calibri" w:hAnsi="Times New Roman"/>
          <w:bCs/>
          <w:noProof/>
          <w:sz w:val="24"/>
          <w:lang w:val="en-US"/>
        </w:rPr>
        <w:t>Kelanjutan Inpres No. 9 Tahun 2016. Mendikbud secara tegas menginstruksikan untuk meningkatkan dan menstandardisasi program SMK sesuai dengan kebutuhan kompetensi lulusan (</w:t>
      </w:r>
      <w:r w:rsidRPr="004B4ED8">
        <w:rPr>
          <w:rFonts w:ascii="Times New Roman" w:eastAsia="Calibri" w:hAnsi="Times New Roman"/>
          <w:bCs/>
          <w:i/>
          <w:iCs/>
          <w:noProof/>
          <w:sz w:val="24"/>
          <w:lang w:val="en-US"/>
        </w:rPr>
        <w:t>link and match</w:t>
      </w:r>
      <w:r w:rsidRPr="004B4ED8">
        <w:rPr>
          <w:rFonts w:ascii="Times New Roman" w:eastAsia="Calibri" w:hAnsi="Times New Roman"/>
          <w:bCs/>
          <w:noProof/>
          <w:sz w:val="24"/>
          <w:lang w:val="en-US"/>
        </w:rPr>
        <w:t>). “Link” dan “match” mengisyaratkan agar para lulusan mempunyai wawasan persaingan atau sikap etos kerja (work ethic), pencapaian motivasi (</w:t>
      </w:r>
      <w:r w:rsidRPr="004B4ED8">
        <w:rPr>
          <w:rFonts w:ascii="Times New Roman" w:eastAsia="Calibri" w:hAnsi="Times New Roman"/>
          <w:bCs/>
          <w:i/>
          <w:iCs/>
          <w:noProof/>
          <w:sz w:val="24"/>
          <w:lang w:val="en-US"/>
        </w:rPr>
        <w:t>achievement motivation</w:t>
      </w:r>
      <w:r w:rsidRPr="004B4ED8">
        <w:rPr>
          <w:rFonts w:ascii="Times New Roman" w:eastAsia="Calibri" w:hAnsi="Times New Roman"/>
          <w:bCs/>
          <w:noProof/>
          <w:sz w:val="24"/>
          <w:lang w:val="en-US"/>
        </w:rPr>
        <w:t>), penguasaan (</w:t>
      </w:r>
      <w:r w:rsidRPr="004B4ED8">
        <w:rPr>
          <w:rFonts w:ascii="Times New Roman" w:eastAsia="Calibri" w:hAnsi="Times New Roman"/>
          <w:bCs/>
          <w:i/>
          <w:iCs/>
          <w:noProof/>
          <w:sz w:val="24"/>
          <w:lang w:val="en-US"/>
        </w:rPr>
        <w:t>mastery</w:t>
      </w:r>
      <w:r w:rsidRPr="004B4ED8">
        <w:rPr>
          <w:rFonts w:ascii="Times New Roman" w:eastAsia="Calibri" w:hAnsi="Times New Roman"/>
          <w:bCs/>
          <w:noProof/>
          <w:sz w:val="24"/>
          <w:lang w:val="en-US"/>
        </w:rPr>
        <w:t>), sikap berkompetisi (</w:t>
      </w:r>
      <w:r w:rsidRPr="004B4ED8">
        <w:rPr>
          <w:rFonts w:ascii="Times New Roman" w:eastAsia="Calibri" w:hAnsi="Times New Roman"/>
          <w:bCs/>
          <w:i/>
          <w:iCs/>
          <w:noProof/>
          <w:sz w:val="24"/>
          <w:lang w:val="en-US"/>
        </w:rPr>
        <w:t>competitiveness</w:t>
      </w:r>
      <w:r w:rsidRPr="004B4ED8">
        <w:rPr>
          <w:rFonts w:ascii="Times New Roman" w:eastAsia="Calibri" w:hAnsi="Times New Roman"/>
          <w:bCs/>
          <w:noProof/>
          <w:sz w:val="24"/>
          <w:lang w:val="en-US"/>
        </w:rPr>
        <w:t>), memahami arti uang (</w:t>
      </w:r>
      <w:r w:rsidRPr="004B4ED8">
        <w:rPr>
          <w:rFonts w:ascii="Times New Roman" w:eastAsia="Calibri" w:hAnsi="Times New Roman"/>
          <w:bCs/>
          <w:i/>
          <w:iCs/>
          <w:noProof/>
          <w:sz w:val="24"/>
          <w:lang w:val="en-US"/>
        </w:rPr>
        <w:t>money beliefs</w:t>
      </w:r>
      <w:r w:rsidRPr="004B4ED8">
        <w:rPr>
          <w:rFonts w:ascii="Times New Roman" w:eastAsia="Calibri" w:hAnsi="Times New Roman"/>
          <w:bCs/>
          <w:noProof/>
          <w:sz w:val="24"/>
          <w:lang w:val="en-US"/>
        </w:rPr>
        <w:t>), dan sikap menabung (</w:t>
      </w:r>
      <w:r w:rsidRPr="004B4ED8">
        <w:rPr>
          <w:rFonts w:ascii="Times New Roman" w:eastAsia="Calibri" w:hAnsi="Times New Roman"/>
          <w:bCs/>
          <w:i/>
          <w:iCs/>
          <w:noProof/>
          <w:sz w:val="24"/>
          <w:lang w:val="en-US"/>
        </w:rPr>
        <w:t>attitudes to saving</w:t>
      </w:r>
      <w:r w:rsidRPr="004B4ED8">
        <w:rPr>
          <w:rFonts w:ascii="Times New Roman" w:eastAsia="Calibri" w:hAnsi="Times New Roman"/>
          <w:bCs/>
          <w:noProof/>
          <w:sz w:val="24"/>
          <w:lang w:val="en-US"/>
        </w:rPr>
        <w:t>). “</w:t>
      </w:r>
      <w:r w:rsidRPr="004B4ED8">
        <w:rPr>
          <w:rFonts w:ascii="Times New Roman" w:eastAsia="Calibri" w:hAnsi="Times New Roman"/>
          <w:bCs/>
          <w:i/>
          <w:iCs/>
          <w:noProof/>
          <w:sz w:val="24"/>
          <w:lang w:val="en-US"/>
        </w:rPr>
        <w:t>Link</w:t>
      </w:r>
      <w:r w:rsidRPr="004B4ED8">
        <w:rPr>
          <w:rFonts w:ascii="Times New Roman" w:eastAsia="Calibri" w:hAnsi="Times New Roman"/>
          <w:bCs/>
          <w:noProof/>
          <w:sz w:val="24"/>
          <w:lang w:val="en-US"/>
        </w:rPr>
        <w:t>” dan “</w:t>
      </w:r>
      <w:r w:rsidRPr="004B4ED8">
        <w:rPr>
          <w:rFonts w:ascii="Times New Roman" w:eastAsia="Calibri" w:hAnsi="Times New Roman"/>
          <w:bCs/>
          <w:i/>
          <w:iCs/>
          <w:noProof/>
          <w:sz w:val="24"/>
          <w:lang w:val="en-US"/>
        </w:rPr>
        <w:t>match</w:t>
      </w:r>
      <w:r w:rsidRPr="004B4ED8">
        <w:rPr>
          <w:rFonts w:ascii="Times New Roman" w:eastAsia="Calibri" w:hAnsi="Times New Roman"/>
          <w:bCs/>
          <w:noProof/>
          <w:sz w:val="24"/>
          <w:lang w:val="en-US"/>
        </w:rPr>
        <w:t>” memerlukan perubahan pola pikir seluruh penyelenggara pendidikan, baik lembaga pendidikan maupun tenaga pengajar, agar aktif mengembangkan “</w:t>
      </w:r>
      <w:r w:rsidRPr="004B4ED8">
        <w:rPr>
          <w:rFonts w:ascii="Times New Roman" w:eastAsia="Calibri" w:hAnsi="Times New Roman"/>
          <w:bCs/>
          <w:i/>
          <w:iCs/>
          <w:noProof/>
          <w:sz w:val="24"/>
          <w:lang w:val="en-US"/>
        </w:rPr>
        <w:t>link</w:t>
      </w:r>
      <w:r w:rsidRPr="004B4ED8">
        <w:rPr>
          <w:rFonts w:ascii="Times New Roman" w:eastAsia="Calibri" w:hAnsi="Times New Roman"/>
          <w:bCs/>
          <w:noProof/>
          <w:sz w:val="24"/>
          <w:lang w:val="en-US"/>
        </w:rPr>
        <w:t>” dan “</w:t>
      </w:r>
      <w:r w:rsidRPr="004B4ED8">
        <w:rPr>
          <w:rFonts w:ascii="Times New Roman" w:eastAsia="Calibri" w:hAnsi="Times New Roman"/>
          <w:bCs/>
          <w:i/>
          <w:iCs/>
          <w:noProof/>
          <w:sz w:val="24"/>
          <w:lang w:val="en-US"/>
        </w:rPr>
        <w:t>match</w:t>
      </w:r>
      <w:r w:rsidRPr="004B4ED8">
        <w:rPr>
          <w:rFonts w:ascii="Times New Roman" w:eastAsia="Calibri" w:hAnsi="Times New Roman"/>
          <w:bCs/>
          <w:noProof/>
          <w:sz w:val="24"/>
          <w:lang w:val="en-US"/>
        </w:rPr>
        <w:t>” dengan dunia kerja</w:t>
      </w:r>
      <w:r w:rsidRPr="004B4ED8">
        <w:rPr>
          <w:rFonts w:ascii="Times New Roman" w:eastAsia="Calibri" w:hAnsi="Times New Roman"/>
          <w:bCs/>
          <w:noProof/>
          <w:sz w:val="24"/>
        </w:rPr>
        <w:t>.</w:t>
      </w:r>
      <w:r w:rsidRPr="004B4ED8">
        <w:rPr>
          <w:rFonts w:ascii="Times New Roman" w:eastAsia="Calibri" w:hAnsi="Times New Roman"/>
          <w:bCs/>
          <w:noProof/>
          <w:color w:val="5B9BD5"/>
          <w:sz w:val="24"/>
        </w:rPr>
        <w:t xml:space="preserve"> (</w:t>
      </w:r>
      <w:r w:rsidRPr="004B4ED8">
        <w:rPr>
          <w:rFonts w:ascii="Times New Roman" w:eastAsia="Calibri" w:hAnsi="Times New Roman"/>
          <w:bCs/>
          <w:noProof/>
          <w:color w:val="5B9BD5"/>
          <w:sz w:val="24"/>
          <w:lang w:val="en-US"/>
        </w:rPr>
        <w:t>Kemendikbud</w:t>
      </w:r>
      <w:r w:rsidRPr="004B4ED8">
        <w:rPr>
          <w:rFonts w:ascii="Times New Roman" w:eastAsia="Calibri" w:hAnsi="Times New Roman"/>
          <w:bCs/>
          <w:noProof/>
          <w:color w:val="5B9BD5"/>
          <w:sz w:val="24"/>
        </w:rPr>
        <w:t>,</w:t>
      </w:r>
      <w:r w:rsidRPr="004B4ED8">
        <w:rPr>
          <w:rFonts w:ascii="Times New Roman" w:eastAsia="Calibri" w:hAnsi="Times New Roman"/>
          <w:bCs/>
          <w:noProof/>
          <w:color w:val="5B9BD5"/>
          <w:sz w:val="24"/>
          <w:lang w:val="en-US"/>
        </w:rPr>
        <w:t xml:space="preserve"> </w:t>
      </w:r>
      <w:r w:rsidRPr="004B4ED8">
        <w:rPr>
          <w:rFonts w:ascii="Times New Roman" w:eastAsia="Calibri" w:hAnsi="Times New Roman"/>
          <w:bCs/>
          <w:noProof/>
          <w:color w:val="5B9BD5"/>
          <w:sz w:val="24"/>
        </w:rPr>
        <w:t>2018)</w:t>
      </w:r>
    </w:p>
    <w:p w14:paraId="15AAEA66" w14:textId="77777777" w:rsidR="004B4ED8" w:rsidRPr="004B4ED8" w:rsidRDefault="004B4ED8" w:rsidP="004B4ED8">
      <w:pPr>
        <w:spacing w:after="160" w:line="240" w:lineRule="auto"/>
        <w:ind w:left="589" w:firstLine="851"/>
        <w:contextualSpacing/>
        <w:jc w:val="both"/>
        <w:rPr>
          <w:rFonts w:ascii="Times New Roman" w:eastAsia="Calibri" w:hAnsi="Times New Roman"/>
          <w:bCs/>
          <w:noProof/>
          <w:sz w:val="24"/>
          <w:lang w:val="en-US"/>
        </w:rPr>
      </w:pPr>
      <w:r w:rsidRPr="004B4ED8">
        <w:rPr>
          <w:rFonts w:eastAsia="Calibri"/>
          <w:noProof/>
          <w:sz w:val="24"/>
          <w:szCs w:val="24"/>
          <w:lang w:val="en-US"/>
        </w:rPr>
        <w:drawing>
          <wp:anchor distT="0" distB="0" distL="114300" distR="114300" simplePos="0" relativeHeight="251659264" behindDoc="0" locked="0" layoutInCell="1" allowOverlap="1" wp14:anchorId="7973D977" wp14:editId="6C6AACFA">
            <wp:simplePos x="0" y="0"/>
            <wp:positionH relativeFrom="margin">
              <wp:align>center</wp:align>
            </wp:positionH>
            <wp:positionV relativeFrom="paragraph">
              <wp:posOffset>236855</wp:posOffset>
            </wp:positionV>
            <wp:extent cx="4638675" cy="17621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4638675" cy="1762125"/>
                    </a:xfrm>
                    <a:prstGeom prst="rect">
                      <a:avLst/>
                    </a:prstGeom>
                  </pic:spPr>
                </pic:pic>
              </a:graphicData>
            </a:graphic>
          </wp:anchor>
        </w:drawing>
      </w:r>
      <w:r w:rsidRPr="004B4ED8">
        <w:rPr>
          <w:rFonts w:ascii="Times New Roman" w:eastAsia="Calibri" w:hAnsi="Times New Roman"/>
          <w:bCs/>
          <w:noProof/>
          <w:sz w:val="24"/>
          <w:lang w:val="en-US"/>
        </w:rPr>
        <w:t>Gambar 1 Skema “link” dan “match” Revitalisasi SMK</w:t>
      </w:r>
    </w:p>
    <w:p w14:paraId="58EF0D71" w14:textId="77777777" w:rsidR="004B4ED8" w:rsidRPr="004B4ED8" w:rsidRDefault="004B4ED8" w:rsidP="004B4ED8">
      <w:pPr>
        <w:spacing w:after="160" w:line="240" w:lineRule="auto"/>
        <w:contextualSpacing/>
        <w:jc w:val="center"/>
        <w:rPr>
          <w:rFonts w:ascii="Times New Roman" w:eastAsia="Calibri" w:hAnsi="Times New Roman"/>
          <w:bCs/>
          <w:noProof/>
          <w:sz w:val="24"/>
          <w:lang w:val="en-US"/>
        </w:rPr>
      </w:pPr>
      <w:r w:rsidRPr="004B4ED8">
        <w:rPr>
          <w:rFonts w:ascii="Times New Roman" w:eastAsia="Calibri" w:hAnsi="Times New Roman"/>
          <w:bCs/>
          <w:noProof/>
          <w:sz w:val="24"/>
          <w:lang w:val="en-US"/>
        </w:rPr>
        <w:t>Sumber: Kemendikbud</w:t>
      </w:r>
    </w:p>
    <w:p w14:paraId="65E37F57" w14:textId="77777777" w:rsidR="004B4ED8" w:rsidRPr="004B4ED8" w:rsidRDefault="004B4ED8" w:rsidP="004B4ED8">
      <w:pPr>
        <w:spacing w:after="40" w:line="240" w:lineRule="auto"/>
        <w:ind w:firstLine="851"/>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Terdapat sepuluh langkah program yang dilakukan oleh program revitalisasi SMK ini. Berikut ini adalah Kesepuluh langkah program revitalisasi SMK di Indonesia:</w:t>
      </w:r>
    </w:p>
    <w:p w14:paraId="63991DE5"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Revitalisasi sumber daya manusia</w:t>
      </w:r>
    </w:p>
    <w:p w14:paraId="041CCC9C"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 xml:space="preserve">Membangun Sistem Informasi Sekolah SAS berbasis Sistem Informasi Manajemen </w:t>
      </w:r>
    </w:p>
    <w:p w14:paraId="5FE23E28"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i/>
          <w:iCs/>
          <w:noProof/>
          <w:sz w:val="24"/>
          <w:szCs w:val="24"/>
        </w:rPr>
        <w:t>Link and match</w:t>
      </w:r>
      <w:r w:rsidRPr="004B4ED8">
        <w:rPr>
          <w:rFonts w:ascii="Times New Roman" w:eastAsia="Calibri" w:hAnsi="Times New Roman"/>
          <w:noProof/>
          <w:sz w:val="24"/>
          <w:szCs w:val="24"/>
        </w:rPr>
        <w:t xml:space="preserve"> dengan industri </w:t>
      </w:r>
    </w:p>
    <w:p w14:paraId="05777B4C"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Kurikulum berbasis industri</w:t>
      </w:r>
    </w:p>
    <w:p w14:paraId="53C1C243"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i/>
          <w:iCs/>
          <w:noProof/>
          <w:sz w:val="24"/>
          <w:szCs w:val="24"/>
        </w:rPr>
      </w:pPr>
      <w:r w:rsidRPr="004B4ED8">
        <w:rPr>
          <w:rFonts w:ascii="Times New Roman" w:eastAsia="Calibri" w:hAnsi="Times New Roman"/>
          <w:i/>
          <w:iCs/>
          <w:noProof/>
          <w:sz w:val="24"/>
          <w:szCs w:val="24"/>
        </w:rPr>
        <w:t>Teaching factory</w:t>
      </w:r>
    </w:p>
    <w:p w14:paraId="4B467242"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 xml:space="preserve">Penggunaan  Media  Video  Tutorial  dan Portofolio Berbasis Video e-Report Skill  </w:t>
      </w:r>
    </w:p>
    <w:p w14:paraId="689A39B9"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 xml:space="preserve">Uji Sertifikasi Profesi </w:t>
      </w:r>
    </w:p>
    <w:p w14:paraId="7FA54FAF"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lastRenderedPageBreak/>
        <w:t xml:space="preserve">Pemenuhan sarana dan prasarana  </w:t>
      </w:r>
    </w:p>
    <w:p w14:paraId="03EEF8D8"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 xml:space="preserve">Mengembangkan Kearifan Lokal  </w:t>
      </w:r>
    </w:p>
    <w:p w14:paraId="01CD2B26" w14:textId="77777777" w:rsidR="004B4ED8" w:rsidRPr="004B4ED8" w:rsidRDefault="004B4ED8" w:rsidP="004B4ED8">
      <w:pPr>
        <w:numPr>
          <w:ilvl w:val="0"/>
          <w:numId w:val="17"/>
        </w:numPr>
        <w:spacing w:after="40" w:line="240" w:lineRule="auto"/>
        <w:ind w:left="567" w:hanging="567"/>
        <w:contextualSpacing/>
        <w:jc w:val="both"/>
        <w:rPr>
          <w:rFonts w:ascii="Times New Roman" w:eastAsia="Calibri" w:hAnsi="Times New Roman"/>
          <w:noProof/>
          <w:sz w:val="24"/>
          <w:szCs w:val="24"/>
        </w:rPr>
      </w:pPr>
      <w:r w:rsidRPr="004B4ED8">
        <w:rPr>
          <w:rFonts w:ascii="Times New Roman" w:eastAsia="Calibri" w:hAnsi="Times New Roman"/>
          <w:noProof/>
          <w:sz w:val="24"/>
          <w:szCs w:val="24"/>
        </w:rPr>
        <w:t>Peran  SMK  Sebagai  Penggerak  Ekonomi Lokal.</w:t>
      </w:r>
    </w:p>
    <w:p w14:paraId="36FCF884"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Program Revitalisasi SMK ini jika dilihat dari dasar hukum pelaksanaanya tidak secara langsung dilakukan oleh pemerintah untuk memenuhi target dari SDGs, tetapi program ini masih sejalan dengan target SDGs 4.3 yang berbunyi “Pada tahun 2030, menjamin akses yang sama bagi semua perempuan dan laki-laki, terhadap pendidikan teknik, kejuruan dan pendidikan tinggi, termasuk universitas, yang terjangkau dan berkualitas.”</w:t>
      </w:r>
    </w:p>
    <w:p w14:paraId="21D6C423" w14:textId="77777777" w:rsidR="004B4ED8" w:rsidRPr="004B4ED8" w:rsidRDefault="004B4ED8" w:rsidP="004B4ED8">
      <w:pPr>
        <w:spacing w:after="160"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 xml:space="preserve">Dari aspek akses, program revitalisasi SMK melalui Kementerian Pendidikan dan Kebudayaan telah membangun 277 unit sekolah baru, 6478 ruang kelas baru, dan 3.393 ruang praktik kejuruan di seluruh Indonesia. Dari aspek kompetensi guru, sebanyak 92 guru telah memperoleh sertifikasi internasional, 1.600 guru telah mengikuti sertifikasi keterampilan, 1.170 guru telah mengikuti tahap proyek keterampilan ganda, dan 10.366 guru telah mengikuti ujian sertifikasi kemampuan kerja. Dalam hal peningkatan akses sertifikasi lulusan SMK dan akreditasi SMK, Kemendikbud telah mensertifikasi 73 kompetensi keahlian. Totalnya, hingga akhir tahun 2020, terdapat 2.600 SMK yang telah direvitalisasi. </w:t>
      </w:r>
      <w:r w:rsidRPr="004B4ED8">
        <w:rPr>
          <w:rFonts w:ascii="Times New Roman" w:eastAsia="Calibri" w:hAnsi="Times New Roman"/>
          <w:bCs/>
          <w:noProof/>
          <w:color w:val="5B9BD5"/>
          <w:sz w:val="24"/>
          <w:lang w:val="en-US"/>
        </w:rPr>
        <w:t>(Kemendikbud, 2</w:t>
      </w:r>
      <w:r w:rsidRPr="004B4ED8">
        <w:rPr>
          <w:rFonts w:ascii="Times New Roman" w:eastAsia="Calibri" w:hAnsi="Times New Roman"/>
          <w:bCs/>
          <w:noProof/>
          <w:color w:val="5B9BD5"/>
          <w:sz w:val="24"/>
        </w:rPr>
        <w:t>021</w:t>
      </w:r>
      <w:r w:rsidRPr="004B4ED8">
        <w:rPr>
          <w:rFonts w:ascii="Times New Roman" w:eastAsia="Calibri" w:hAnsi="Times New Roman"/>
          <w:bCs/>
          <w:noProof/>
          <w:color w:val="5B9BD5"/>
          <w:sz w:val="24"/>
          <w:lang w:val="en-US"/>
        </w:rPr>
        <w:t>)</w:t>
      </w:r>
    </w:p>
    <w:p w14:paraId="32E36968" w14:textId="736B3AF2" w:rsidR="00CA00BF" w:rsidRDefault="004B4ED8" w:rsidP="006E1F24">
      <w:pPr>
        <w:spacing w:line="240" w:lineRule="auto"/>
        <w:ind w:firstLine="851"/>
        <w:contextualSpacing/>
        <w:jc w:val="both"/>
        <w:rPr>
          <w:rFonts w:ascii="Times New Roman" w:eastAsia="Calibri" w:hAnsi="Times New Roman"/>
          <w:bCs/>
          <w:noProof/>
          <w:sz w:val="24"/>
          <w:lang w:val="en-US"/>
        </w:rPr>
      </w:pPr>
      <w:r w:rsidRPr="004B4ED8">
        <w:rPr>
          <w:rFonts w:ascii="Times New Roman" w:eastAsia="Calibri" w:hAnsi="Times New Roman"/>
          <w:bCs/>
          <w:noProof/>
          <w:sz w:val="24"/>
          <w:lang w:val="en-US"/>
        </w:rPr>
        <w:t>Rangkaian hasil program-program dalam Revitalisasi SMK tersebut akan menjadi input yang penting dalam dunia pendidikan. Dengan demikian dengan dijalankannya program ini, akan berujung meningkatnya kemampuan vokasi peserta didik dan hal tersebut akan sejalan dengan meningkatnya kualitas Pendidikan di Indonesia.</w:t>
      </w:r>
    </w:p>
    <w:p w14:paraId="73C14B40" w14:textId="77777777" w:rsidR="00A34683" w:rsidRPr="006E1F24" w:rsidRDefault="00A34683" w:rsidP="006E1F24">
      <w:pPr>
        <w:spacing w:line="240" w:lineRule="auto"/>
        <w:ind w:firstLine="851"/>
        <w:contextualSpacing/>
        <w:jc w:val="both"/>
        <w:rPr>
          <w:rFonts w:ascii="Times New Roman" w:eastAsia="Calibri" w:hAnsi="Times New Roman"/>
          <w:bCs/>
          <w:noProof/>
          <w:sz w:val="24"/>
          <w:lang w:val="en-US"/>
        </w:rPr>
      </w:pPr>
    </w:p>
    <w:p w14:paraId="282DA281" w14:textId="77777777" w:rsidR="006F7D90" w:rsidRPr="00856640" w:rsidRDefault="006F7D90" w:rsidP="006F7D90">
      <w:pPr>
        <w:spacing w:line="240" w:lineRule="auto"/>
        <w:contextualSpacing/>
        <w:jc w:val="both"/>
        <w:rPr>
          <w:rFonts w:ascii="Times New Roman" w:hAnsi="Times New Roman"/>
          <w:b/>
          <w:sz w:val="24"/>
        </w:rPr>
      </w:pPr>
      <w:r w:rsidRPr="00856640">
        <w:rPr>
          <w:rFonts w:ascii="Times New Roman" w:hAnsi="Times New Roman"/>
          <w:b/>
          <w:sz w:val="24"/>
        </w:rPr>
        <w:t>Kesimpulan</w:t>
      </w:r>
    </w:p>
    <w:p w14:paraId="5B833F8F" w14:textId="1B9F3FF4" w:rsidR="00115E60" w:rsidRPr="0011207F" w:rsidRDefault="00115E60" w:rsidP="00115E60">
      <w:pPr>
        <w:spacing w:line="240" w:lineRule="auto"/>
        <w:ind w:firstLine="851"/>
        <w:contextualSpacing/>
        <w:jc w:val="both"/>
        <w:rPr>
          <w:rFonts w:ascii="Times New Roman" w:hAnsi="Times New Roman"/>
          <w:bCs/>
          <w:sz w:val="24"/>
        </w:rPr>
      </w:pPr>
      <w:r w:rsidRPr="003E0634">
        <w:rPr>
          <w:rFonts w:ascii="Times New Roman" w:hAnsi="Times New Roman"/>
          <w:bCs/>
          <w:sz w:val="24"/>
          <w:lang w:val="en-US"/>
        </w:rPr>
        <w:t>Indonesia dihadapkan pada berbagai permasalahan yang berhubungan dengan pendidikan, mulai dari kualitas tenaga pengajar hingga daya saing yang rendah diantara para lulusan. Melihat fakta ini, Indonesia mengambil salah satu jalan guna meningkatkan kualitas pendidikan dalam negeri, yakni dengan menerapkan SDGs (</w:t>
      </w:r>
      <w:r w:rsidRPr="0002335A">
        <w:rPr>
          <w:rFonts w:ascii="Times New Roman" w:hAnsi="Times New Roman"/>
          <w:bCs/>
          <w:i/>
          <w:iCs/>
          <w:sz w:val="24"/>
          <w:lang w:val="en-US"/>
        </w:rPr>
        <w:t>Sustainable Development Goals</w:t>
      </w:r>
      <w:r w:rsidRPr="003E0634">
        <w:rPr>
          <w:rFonts w:ascii="Times New Roman" w:hAnsi="Times New Roman"/>
          <w:bCs/>
          <w:sz w:val="24"/>
          <w:lang w:val="en-US"/>
        </w:rPr>
        <w:t>) yang merupakan lanjutan dari program MDGs (</w:t>
      </w:r>
      <w:r w:rsidRPr="0002335A">
        <w:rPr>
          <w:rFonts w:ascii="Times New Roman" w:hAnsi="Times New Roman"/>
          <w:bCs/>
          <w:i/>
          <w:iCs/>
          <w:sz w:val="24"/>
          <w:lang w:val="en-US"/>
        </w:rPr>
        <w:t>Millenium Development Goals</w:t>
      </w:r>
      <w:r w:rsidRPr="003E0634">
        <w:rPr>
          <w:rFonts w:ascii="Times New Roman" w:hAnsi="Times New Roman"/>
          <w:bCs/>
          <w:sz w:val="24"/>
          <w:lang w:val="en-US"/>
        </w:rPr>
        <w:t>), yaitu sebuah agenda hasil kesepakatan anggota – anggota PBB di</w:t>
      </w:r>
      <w:r w:rsidR="001847D3">
        <w:rPr>
          <w:rFonts w:ascii="Times New Roman" w:hAnsi="Times New Roman"/>
          <w:bCs/>
          <w:sz w:val="24"/>
        </w:rPr>
        <w:t xml:space="preserve"> </w:t>
      </w:r>
      <w:r w:rsidRPr="003E0634">
        <w:rPr>
          <w:rFonts w:ascii="Times New Roman" w:hAnsi="Times New Roman"/>
          <w:bCs/>
          <w:sz w:val="24"/>
          <w:lang w:val="en-US"/>
        </w:rPr>
        <w:t>mana salah satu poin utamanya berfokus pada kualitas pendidikan</w:t>
      </w:r>
      <w:r w:rsidR="0011207F">
        <w:rPr>
          <w:rFonts w:ascii="Times New Roman" w:hAnsi="Times New Roman"/>
          <w:bCs/>
          <w:sz w:val="24"/>
        </w:rPr>
        <w:t>.</w:t>
      </w:r>
    </w:p>
    <w:p w14:paraId="528E8770" w14:textId="058E5AE1" w:rsidR="006F7D90" w:rsidRPr="00856640" w:rsidRDefault="00115E60" w:rsidP="00115E60">
      <w:pPr>
        <w:spacing w:line="240" w:lineRule="auto"/>
        <w:ind w:firstLine="851"/>
        <w:contextualSpacing/>
        <w:jc w:val="both"/>
        <w:rPr>
          <w:rFonts w:ascii="Times New Roman" w:hAnsi="Times New Roman"/>
          <w:bCs/>
          <w:sz w:val="24"/>
        </w:rPr>
      </w:pPr>
      <w:r w:rsidRPr="004E7FB0">
        <w:rPr>
          <w:rFonts w:ascii="Times New Roman" w:hAnsi="Times New Roman"/>
          <w:bCs/>
          <w:sz w:val="24"/>
          <w:lang w:val="en-US"/>
        </w:rPr>
        <w:t>Sebelum menerapkan SDGs, Indonesia telah mengeluarkan kebijakan pendidikan berupa program-program sebagai upaya untuk mendukung peningkatan kualitas pendidikan. Meski demikian, program-program tersebut sejalan dengan tujuan SDGs yang terdapat pada poin keempat. Oleh sebab itu, program yang disusun untuk peningkatan kualitas pendidikan tersebut terus berlanjut agar kualitas pendidikan Indonesia dapat mencapai target yang ditetapkan SDGs. Pemerintah telah melakukan upaya dengan membuat kebijakan bidang hukum, upaya kebijakan program peningkatan akses pendidikan, upaya kebijakan program kualitas pengajaran dan pembelajaran  dan upaya kebijakan program keterampilan, vokasi, dan kemampuan kerj</w:t>
      </w:r>
      <w:r>
        <w:rPr>
          <w:rFonts w:ascii="Times New Roman" w:hAnsi="Times New Roman"/>
          <w:bCs/>
          <w:sz w:val="24"/>
        </w:rPr>
        <w:t>a</w:t>
      </w:r>
      <w:r w:rsidR="006F7D90" w:rsidRPr="00856640">
        <w:rPr>
          <w:rFonts w:ascii="Times New Roman" w:hAnsi="Times New Roman"/>
          <w:bCs/>
          <w:sz w:val="24"/>
        </w:rPr>
        <w:t>.</w:t>
      </w:r>
    </w:p>
    <w:p w14:paraId="3EAEC0CB" w14:textId="2ECA7EBA" w:rsidR="006F7D90" w:rsidRDefault="006F7D90" w:rsidP="00640220">
      <w:pPr>
        <w:spacing w:after="0" w:line="240" w:lineRule="auto"/>
        <w:rPr>
          <w:rFonts w:ascii="Times New Roman" w:hAnsi="Times New Roman"/>
          <w:bCs/>
          <w:sz w:val="24"/>
        </w:rPr>
      </w:pPr>
    </w:p>
    <w:p w14:paraId="225E04DE" w14:textId="77777777" w:rsidR="006F7D90" w:rsidRPr="00856640" w:rsidRDefault="006F7D90" w:rsidP="006F7D90">
      <w:pPr>
        <w:spacing w:line="240" w:lineRule="auto"/>
        <w:contextualSpacing/>
        <w:jc w:val="both"/>
        <w:rPr>
          <w:rFonts w:ascii="Times New Roman" w:hAnsi="Times New Roman"/>
          <w:b/>
          <w:sz w:val="24"/>
        </w:rPr>
      </w:pPr>
      <w:r w:rsidRPr="00856640">
        <w:rPr>
          <w:rFonts w:ascii="Times New Roman" w:hAnsi="Times New Roman"/>
          <w:b/>
          <w:sz w:val="24"/>
        </w:rPr>
        <w:t>Daftar Pustaka</w:t>
      </w:r>
    </w:p>
    <w:p w14:paraId="0BED871A" w14:textId="77777777" w:rsidR="006F7D90" w:rsidRDefault="006F7D90" w:rsidP="006F7D90">
      <w:pPr>
        <w:spacing w:line="240" w:lineRule="auto"/>
        <w:contextualSpacing/>
        <w:jc w:val="both"/>
        <w:rPr>
          <w:rFonts w:ascii="Times New Roman" w:hAnsi="Times New Roman"/>
          <w:bCs/>
          <w:sz w:val="24"/>
        </w:rPr>
      </w:pPr>
    </w:p>
    <w:p w14:paraId="378A8299"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Aminatul Zahroh. 2014. Total Quality Management Teori &amp; Praktik Manajemen Untuk Mendongkrak Mutu Pendidikan Yogyakarta: Ar-Ruzz Media, 2014.</w:t>
      </w:r>
    </w:p>
    <w:p w14:paraId="57C0E745" w14:textId="77777777" w:rsidR="00115E60" w:rsidRPr="00115E60" w:rsidRDefault="00115E60" w:rsidP="00115E60">
      <w:pPr>
        <w:spacing w:after="0" w:line="240" w:lineRule="auto"/>
        <w:jc w:val="both"/>
        <w:rPr>
          <w:rFonts w:ascii="Times New Roman" w:eastAsia="Calibri" w:hAnsi="Times New Roman"/>
          <w:noProof/>
          <w:sz w:val="24"/>
          <w:szCs w:val="24"/>
        </w:rPr>
      </w:pPr>
      <w:r w:rsidRPr="00115E60">
        <w:rPr>
          <w:rFonts w:ascii="Times New Roman" w:eastAsia="Calibri" w:hAnsi="Times New Roman"/>
          <w:noProof/>
          <w:sz w:val="24"/>
          <w:szCs w:val="24"/>
        </w:rPr>
        <w:t xml:space="preserve">Bappenas. Sekilas SDGs.  Terdapat di </w:t>
      </w:r>
      <w:hyperlink r:id="rId10" w:history="1">
        <w:r w:rsidRPr="00115E60">
          <w:rPr>
            <w:rFonts w:ascii="Times New Roman" w:eastAsia="Calibri" w:hAnsi="Times New Roman"/>
            <w:noProof/>
            <w:color w:val="0563C1"/>
            <w:sz w:val="24"/>
            <w:szCs w:val="24"/>
            <w:u w:val="single"/>
          </w:rPr>
          <w:t>https://sdgs.bappenas.go.id/sekilas-sdgs/</w:t>
        </w:r>
      </w:hyperlink>
      <w:r w:rsidRPr="00115E60">
        <w:rPr>
          <w:rFonts w:ascii="Times New Roman" w:eastAsia="Calibri" w:hAnsi="Times New Roman"/>
          <w:noProof/>
          <w:sz w:val="24"/>
          <w:szCs w:val="24"/>
        </w:rPr>
        <w:t>.</w:t>
      </w:r>
    </w:p>
    <w:p w14:paraId="1E75396E" w14:textId="77777777" w:rsidR="00115E60" w:rsidRPr="00115E60" w:rsidRDefault="00115E60" w:rsidP="00115E60">
      <w:pPr>
        <w:spacing w:after="0" w:line="240" w:lineRule="auto"/>
        <w:ind w:left="567" w:hanging="567"/>
        <w:jc w:val="both"/>
        <w:rPr>
          <w:rFonts w:ascii="Times New Roman" w:eastAsia="Calibri" w:hAnsi="Times New Roman"/>
          <w:noProof/>
          <w:sz w:val="24"/>
          <w:szCs w:val="24"/>
        </w:rPr>
      </w:pPr>
      <w:r w:rsidRPr="00115E60">
        <w:rPr>
          <w:rFonts w:ascii="Times New Roman" w:eastAsia="Calibri" w:hAnsi="Times New Roman"/>
          <w:noProof/>
          <w:sz w:val="24"/>
          <w:szCs w:val="24"/>
        </w:rPr>
        <w:lastRenderedPageBreak/>
        <w:t xml:space="preserve">Bruns, Barbara, Macdonald, I. H., &amp; Schneider, B. R. 2019. The Politics of  quality reforms and the challenges for SDGs in Education. World </w:t>
      </w:r>
      <w:r w:rsidRPr="00115E60">
        <w:rPr>
          <w:rFonts w:ascii="Times New Roman" w:eastAsia="Calibri" w:hAnsi="Times New Roman"/>
          <w:noProof/>
          <w:sz w:val="24"/>
          <w:szCs w:val="24"/>
        </w:rPr>
        <w:tab/>
        <w:t xml:space="preserve">Development, 27-38. Terdapat di </w:t>
      </w:r>
      <w:hyperlink r:id="rId11" w:history="1">
        <w:r w:rsidRPr="00115E60">
          <w:rPr>
            <w:rFonts w:ascii="Times New Roman" w:eastAsia="Calibri" w:hAnsi="Times New Roman"/>
            <w:noProof/>
            <w:color w:val="0563C1"/>
            <w:sz w:val="24"/>
            <w:szCs w:val="24"/>
            <w:u w:val="single"/>
          </w:rPr>
          <w:t>https://www.researchgate.net/publication/332100069_The_politics_of_quality_reformsand_the_challenges_for_SDGs_in_education</w:t>
        </w:r>
      </w:hyperlink>
    </w:p>
    <w:p w14:paraId="1228F200"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Fuad, Choirul. 2008. Budaya sekolah dan Mutu Pendidikan, Jakarta: PT. Pena Citrasatria </w:t>
      </w:r>
    </w:p>
    <w:p w14:paraId="47D8B6F4"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Halimah. 2010. Pengaruh Peningkatan Profesional Guru SD dalam Bidang Studi Ips di kecamatan rajapolah tasikmalaya. Saung Guru, 1(10), 2038</w:t>
      </w:r>
    </w:p>
    <w:p w14:paraId="5FEF7705"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Hesel Nogi S. Tangkilisan. 2003. Kebijakan Publik yang Membumi: Konsep, Strategi dan Kasus Yogyakarta: Lukman Offset dan YPASI</w:t>
      </w:r>
    </w:p>
    <w:p w14:paraId="00B5E67E" w14:textId="77777777" w:rsidR="00115E60" w:rsidRPr="00115E60" w:rsidRDefault="00115E60" w:rsidP="00115E60">
      <w:pPr>
        <w:spacing w:after="0" w:line="240" w:lineRule="auto"/>
        <w:ind w:left="567" w:hanging="567"/>
        <w:jc w:val="both"/>
        <w:rPr>
          <w:rFonts w:ascii="Times New Roman" w:eastAsia="Calibri" w:hAnsi="Times New Roman"/>
          <w:noProof/>
          <w:sz w:val="24"/>
          <w:szCs w:val="24"/>
        </w:rPr>
      </w:pPr>
      <w:r w:rsidRPr="00115E60">
        <w:rPr>
          <w:rFonts w:ascii="Times New Roman" w:eastAsia="Calibri" w:hAnsi="Times New Roman"/>
          <w:noProof/>
          <w:sz w:val="24"/>
          <w:szCs w:val="24"/>
          <w:lang w:val="en-US"/>
        </w:rPr>
        <w:t>Human Development Report</w:t>
      </w:r>
      <w:r w:rsidRPr="00115E60">
        <w:rPr>
          <w:rFonts w:ascii="Times New Roman" w:eastAsia="Calibri" w:hAnsi="Times New Roman"/>
          <w:noProof/>
          <w:sz w:val="24"/>
          <w:szCs w:val="24"/>
        </w:rPr>
        <w:t>.</w:t>
      </w:r>
      <w:r w:rsidRPr="00115E60">
        <w:rPr>
          <w:rFonts w:ascii="Times New Roman" w:eastAsia="Calibri" w:hAnsi="Times New Roman"/>
          <w:noProof/>
          <w:sz w:val="24"/>
          <w:szCs w:val="24"/>
          <w:lang w:val="en-US"/>
        </w:rPr>
        <w:t xml:space="preserve"> 2019</w:t>
      </w:r>
      <w:r w:rsidRPr="00115E60">
        <w:rPr>
          <w:rFonts w:ascii="Times New Roman" w:eastAsia="Calibri" w:hAnsi="Times New Roman"/>
          <w:noProof/>
          <w:sz w:val="24"/>
          <w:szCs w:val="24"/>
        </w:rPr>
        <w:t>.</w:t>
      </w:r>
      <w:r w:rsidRPr="00115E60">
        <w:rPr>
          <w:rFonts w:ascii="Times New Roman" w:eastAsia="Calibri" w:hAnsi="Times New Roman"/>
          <w:noProof/>
          <w:sz w:val="24"/>
          <w:szCs w:val="24"/>
          <w:lang w:val="en-US"/>
        </w:rPr>
        <w:t xml:space="preserve"> </w:t>
      </w:r>
      <w:r w:rsidRPr="00115E60">
        <w:rPr>
          <w:rFonts w:ascii="Times New Roman" w:eastAsia="Calibri" w:hAnsi="Times New Roman"/>
          <w:noProof/>
          <w:sz w:val="24"/>
          <w:szCs w:val="24"/>
        </w:rPr>
        <w:t>T</w:t>
      </w:r>
      <w:r w:rsidRPr="00115E60">
        <w:rPr>
          <w:rFonts w:ascii="Times New Roman" w:eastAsia="Calibri" w:hAnsi="Times New Roman"/>
          <w:noProof/>
          <w:sz w:val="24"/>
          <w:szCs w:val="24"/>
          <w:lang w:val="en-US"/>
        </w:rPr>
        <w:t xml:space="preserve">erdapat di </w:t>
      </w:r>
      <w:hyperlink r:id="rId12" w:history="1">
        <w:r w:rsidRPr="00115E60">
          <w:rPr>
            <w:rFonts w:ascii="Times New Roman" w:eastAsia="Calibri" w:hAnsi="Times New Roman"/>
            <w:noProof/>
            <w:color w:val="0563C1"/>
            <w:sz w:val="24"/>
            <w:szCs w:val="24"/>
            <w:u w:val="single"/>
          </w:rPr>
          <w:t>http://hdr.undp.org/sites/default/files/hdr2019.pdf</w:t>
        </w:r>
      </w:hyperlink>
      <w:r w:rsidRPr="00115E60">
        <w:rPr>
          <w:rFonts w:ascii="Times New Roman" w:eastAsia="Calibri" w:hAnsi="Times New Roman"/>
          <w:noProof/>
          <w:sz w:val="24"/>
          <w:szCs w:val="24"/>
        </w:rPr>
        <w:t xml:space="preserve"> </w:t>
      </w:r>
    </w:p>
    <w:p w14:paraId="5D5823EC"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James Anderson. 1979.  Public Policy Making. New York: Holt, Richard &amp; Winstron.</w:t>
      </w:r>
    </w:p>
    <w:p w14:paraId="1966FEC3"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Kemendikbud. 2017. Strategi Implementasi Revitalisasi Smk. Terdapat di </w:t>
      </w:r>
      <w:hyperlink r:id="rId13" w:history="1">
        <w:r w:rsidRPr="00115E60">
          <w:rPr>
            <w:rFonts w:ascii="Times New Roman" w:eastAsia="Calibri" w:hAnsi="Times New Roman"/>
            <w:color w:val="0563C1"/>
            <w:sz w:val="24"/>
            <w:szCs w:val="24"/>
            <w:u w:val="single"/>
          </w:rPr>
          <w:t>http://repositori.kemdikbud.go.id/5263/1/riXIT33kky7AMpjt8Qcz96oWg1ef5ixukA8vozns.pdf</w:t>
        </w:r>
      </w:hyperlink>
    </w:p>
    <w:p w14:paraId="1F483E9B"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Kemendikbud. 2018. Kajian Program Indonesia Pintar. Terdapat di </w:t>
      </w:r>
      <w:hyperlink r:id="rId14" w:history="1">
        <w:r w:rsidRPr="00115E60">
          <w:rPr>
            <w:rFonts w:ascii="Times New Roman" w:eastAsia="Calibri" w:hAnsi="Times New Roman"/>
            <w:color w:val="0563C1"/>
            <w:sz w:val="24"/>
            <w:szCs w:val="24"/>
            <w:u w:val="single"/>
          </w:rPr>
          <w:t>http://repositori.kemdikbud.go.id/15823/1/Kajian%20program%20Ind%20Pintar.pdf</w:t>
        </w:r>
      </w:hyperlink>
    </w:p>
    <w:p w14:paraId="319689E4"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Kemendikbud. 2019.  Laporan Kinerja Kemendikbud 2018. Terdapat di </w:t>
      </w:r>
      <w:hyperlink r:id="rId15" w:history="1">
        <w:r w:rsidRPr="00115E60">
          <w:rPr>
            <w:rFonts w:ascii="Times New Roman" w:eastAsia="Calibri" w:hAnsi="Times New Roman"/>
            <w:color w:val="0563C1"/>
            <w:sz w:val="24"/>
            <w:szCs w:val="24"/>
            <w:u w:val="single"/>
          </w:rPr>
          <w:t>https://kemdikbud.go.id/main/files/download/9899b657b50db1a</w:t>
        </w:r>
      </w:hyperlink>
    </w:p>
    <w:p w14:paraId="7734B18A"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bookmarkStart w:id="7" w:name="_Hlk105184057"/>
      <w:r w:rsidRPr="00115E60">
        <w:rPr>
          <w:rFonts w:ascii="Times New Roman" w:eastAsia="Calibri" w:hAnsi="Times New Roman"/>
          <w:sz w:val="24"/>
          <w:szCs w:val="24"/>
        </w:rPr>
        <w:t xml:space="preserve">Kemendikbud. 2019. Ketersediaan Sarana dan Prasaran Pendidikan di Daerah 3T. Terdapat di </w:t>
      </w:r>
      <w:hyperlink r:id="rId16" w:history="1">
        <w:r w:rsidRPr="00115E60">
          <w:rPr>
            <w:rFonts w:ascii="Times New Roman" w:eastAsia="Calibri" w:hAnsi="Times New Roman"/>
            <w:color w:val="0563C1"/>
            <w:sz w:val="24"/>
            <w:szCs w:val="24"/>
            <w:u w:val="single"/>
          </w:rPr>
          <w:t>https://puslitjakdikbud.kemdikbud.go.id/assets_front/images/produk/1-gtk/buku/15__Yaya_Jakaria_Kajian_Sarpras_A5_Boni_Gen_imelda_final.pdf</w:t>
        </w:r>
      </w:hyperlink>
    </w:p>
    <w:bookmarkEnd w:id="7"/>
    <w:p w14:paraId="3B8BE070"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Kemendikbud. 2019. Rehabilitasi Ruang Belajar SMA, terdapat di </w:t>
      </w:r>
      <w:hyperlink r:id="rId17" w:history="1">
        <w:r w:rsidRPr="00115E60">
          <w:rPr>
            <w:rFonts w:ascii="Times New Roman" w:eastAsia="Calibri" w:hAnsi="Times New Roman"/>
            <w:color w:val="0563C1"/>
            <w:sz w:val="24"/>
            <w:szCs w:val="24"/>
            <w:u w:val="single"/>
          </w:rPr>
          <w:t>https://sma.kemdikbud.go.id/data/files/Sarana%20Prasarana%20-%20PEDOMAN%20REHABILITASI%20BANGUNAN%20APBNP%202019.pdf</w:t>
        </w:r>
      </w:hyperlink>
    </w:p>
    <w:p w14:paraId="002DF259"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Kemendikbud. 2019. Unit Sekolah Baru SMA. Terdapat di </w:t>
      </w:r>
      <w:hyperlink r:id="rId18" w:history="1">
        <w:r w:rsidRPr="00115E60">
          <w:rPr>
            <w:rFonts w:ascii="Times New Roman" w:eastAsia="Calibri" w:hAnsi="Times New Roman"/>
            <w:color w:val="0563C1"/>
            <w:sz w:val="24"/>
            <w:szCs w:val="24"/>
            <w:u w:val="single"/>
          </w:rPr>
          <w:t>http://repositori.kemdikbud.go.id/17821/1/Sarana%20Prasarana%20%2820191216%29%20-%20Pedoman%20Pelaksanaan%20Banper%20USB%20SMA%20Tahun%202019.pdf</w:t>
        </w:r>
      </w:hyperlink>
    </w:p>
    <w:p w14:paraId="7DB6E2A5"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M. Fani Cahyandito. Pembangunan Berkelanjutan, Ekonomi Dan Ekologi, Sustainability. Terdapat di </w:t>
      </w:r>
      <w:hyperlink r:id="rId19" w:history="1">
        <w:r w:rsidRPr="00115E60">
          <w:rPr>
            <w:rFonts w:ascii="Times New Roman" w:eastAsia="Calibri" w:hAnsi="Times New Roman"/>
            <w:color w:val="0563C1"/>
            <w:sz w:val="24"/>
            <w:szCs w:val="24"/>
            <w:u w:val="single"/>
          </w:rPr>
          <w:t>http://pustaka.unpad.ac.id/wp-content/uploads/2009/06/jurnal_lmfe_pemb_berkelanjutan-ekonomiekologi-sust_comm-sust_rep_fani.pdf</w:t>
        </w:r>
      </w:hyperlink>
    </w:p>
    <w:p w14:paraId="6C21DB7C"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Pedoman Penyelenggaraan Pendidikan Profesi Guru, 2017, terdpat di </w:t>
      </w:r>
      <w:hyperlink r:id="rId20" w:history="1">
        <w:r w:rsidRPr="00115E60">
          <w:rPr>
            <w:rFonts w:ascii="Times New Roman" w:eastAsia="Calibri" w:hAnsi="Times New Roman"/>
            <w:color w:val="0563C1"/>
            <w:sz w:val="24"/>
            <w:szCs w:val="24"/>
            <w:u w:val="single"/>
          </w:rPr>
          <w:t>https://ppg.fkip.unej.ac.id/wp-content/uploads/sites/30/2017/10/pedoman-ppg-reguler-v1.02.pdf</w:t>
        </w:r>
      </w:hyperlink>
    </w:p>
    <w:p w14:paraId="69EE22E6"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Peraturan Pemerintah No. 19 Tahun 2005 tentang Standar Nasional Pendidikan</w:t>
      </w:r>
    </w:p>
    <w:p w14:paraId="6FBDBF52"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PERPRES Nomor 59 Tahun 2017. Tentang Pelaksanaan Pencapaian Tujuan Pembangunan Berkelanjutan</w:t>
      </w:r>
    </w:p>
    <w:p w14:paraId="5D61B0F6"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Potret Capaian Program Revitalisasi SMK Saat Ini. 2021. Terdapat di </w:t>
      </w:r>
      <w:hyperlink r:id="rId21" w:history="1">
        <w:r w:rsidRPr="00115E60">
          <w:rPr>
            <w:rFonts w:ascii="Times New Roman" w:eastAsia="Calibri" w:hAnsi="Times New Roman"/>
            <w:color w:val="0563C1"/>
            <w:sz w:val="24"/>
            <w:szCs w:val="24"/>
            <w:u w:val="single"/>
          </w:rPr>
          <w:t>https://jendela.kemdikbud.go.id/v2/fokus/detail/potret-capaian-program-revitalisasi-smk-saat-ini</w:t>
        </w:r>
      </w:hyperlink>
    </w:p>
    <w:p w14:paraId="07CEB718" w14:textId="77777777" w:rsidR="00115E60" w:rsidRPr="00115E60" w:rsidRDefault="00115E60" w:rsidP="00115E60">
      <w:pPr>
        <w:spacing w:after="0" w:line="240" w:lineRule="auto"/>
        <w:ind w:left="567" w:hanging="567"/>
        <w:rPr>
          <w:rFonts w:ascii="Times New Roman" w:eastAsia="Calibri" w:hAnsi="Times New Roman"/>
          <w:sz w:val="24"/>
          <w:szCs w:val="24"/>
        </w:rPr>
      </w:pPr>
      <w:r w:rsidRPr="00115E60">
        <w:rPr>
          <w:rFonts w:ascii="Times New Roman" w:eastAsia="Calibri" w:hAnsi="Times New Roman"/>
          <w:sz w:val="24"/>
          <w:szCs w:val="24"/>
        </w:rPr>
        <w:lastRenderedPageBreak/>
        <w:t>Sabon, Simon. 2017. Persepsi Siswa Terhadap Kompetensi Guru yang Sudah dan Belum Disertifikasi. Jurnal Pendidikan dan Kebudayaan 2(1), 55-80.</w:t>
      </w:r>
    </w:p>
    <w:p w14:paraId="2052D283"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Statistik Pendidikan. 2022. terdapat di </w:t>
      </w:r>
      <w:hyperlink r:id="rId22" w:history="1">
        <w:r w:rsidRPr="00115E60">
          <w:rPr>
            <w:rFonts w:ascii="Times New Roman" w:eastAsia="Calibri" w:hAnsi="Times New Roman"/>
            <w:color w:val="0563C1"/>
            <w:sz w:val="24"/>
            <w:szCs w:val="24"/>
            <w:u w:val="single"/>
          </w:rPr>
          <w:t>https://statistik.data.kemdikbud.go.id</w:t>
        </w:r>
      </w:hyperlink>
    </w:p>
    <w:p w14:paraId="2462A74F"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Strategi Implementasi Revitalisasi Smk. 2017. Terdapat di </w:t>
      </w:r>
      <w:hyperlink r:id="rId23" w:history="1">
        <w:r w:rsidRPr="00115E60">
          <w:rPr>
            <w:rFonts w:ascii="Times New Roman" w:eastAsia="Calibri" w:hAnsi="Times New Roman"/>
            <w:color w:val="0563C1"/>
            <w:sz w:val="24"/>
            <w:szCs w:val="24"/>
            <w:u w:val="single"/>
          </w:rPr>
          <w:t>http://repositori.kemdikbud.go.id/5263/1/riXIT33kky7AMpjt8Qcz96oWg1ef5ixukA8vozns</w:t>
        </w:r>
      </w:hyperlink>
      <w:r w:rsidRPr="00115E60">
        <w:rPr>
          <w:rFonts w:ascii="Times New Roman" w:eastAsia="Calibri" w:hAnsi="Times New Roman"/>
          <w:sz w:val="24"/>
          <w:szCs w:val="24"/>
        </w:rPr>
        <w:t>.</w:t>
      </w:r>
    </w:p>
    <w:p w14:paraId="77B9529E"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Suti, Marus. 2011. “Strategi Peningkatan Mutu Di Era Otonomi Pendidikan”, MEDTEK, Vol. 3 No. 2.</w:t>
      </w:r>
    </w:p>
    <w:p w14:paraId="1BA37E32" w14:textId="77777777" w:rsidR="00115E60" w:rsidRPr="00115E60" w:rsidRDefault="00115E60" w:rsidP="00115E60">
      <w:pPr>
        <w:spacing w:after="0" w:line="240" w:lineRule="auto"/>
        <w:ind w:left="567" w:hanging="567"/>
        <w:rPr>
          <w:rFonts w:ascii="Times New Roman" w:eastAsia="Calibri" w:hAnsi="Times New Roman"/>
          <w:sz w:val="24"/>
          <w:szCs w:val="24"/>
        </w:rPr>
      </w:pPr>
      <w:r w:rsidRPr="00115E60">
        <w:rPr>
          <w:rFonts w:ascii="Times New Roman" w:eastAsia="Calibri" w:hAnsi="Times New Roman"/>
          <w:sz w:val="24"/>
          <w:szCs w:val="24"/>
        </w:rPr>
        <w:t xml:space="preserve">The Global Education Monitoring Report. 2016. Terdapat di  </w:t>
      </w:r>
      <w:hyperlink r:id="rId24" w:history="1">
        <w:r w:rsidRPr="00115E60">
          <w:rPr>
            <w:rFonts w:ascii="Times New Roman" w:eastAsia="Calibri" w:hAnsi="Times New Roman"/>
            <w:color w:val="0563C1"/>
            <w:sz w:val="24"/>
            <w:szCs w:val="24"/>
            <w:u w:val="single"/>
          </w:rPr>
          <w:t>https://en.unesco.org/gem-report/</w:t>
        </w:r>
      </w:hyperlink>
    </w:p>
    <w:p w14:paraId="6A2D154F" w14:textId="77777777" w:rsidR="00115E60" w:rsidRPr="00115E60" w:rsidRDefault="00115E60" w:rsidP="00115E60">
      <w:pPr>
        <w:spacing w:after="0" w:line="240" w:lineRule="auto"/>
        <w:ind w:left="567" w:hanging="567"/>
        <w:jc w:val="both"/>
        <w:rPr>
          <w:rFonts w:ascii="Times New Roman" w:eastAsia="Calibri" w:hAnsi="Times New Roman"/>
          <w:noProof/>
          <w:sz w:val="24"/>
          <w:szCs w:val="24"/>
          <w:lang w:val="en-US"/>
        </w:rPr>
      </w:pPr>
      <w:r w:rsidRPr="00115E60">
        <w:rPr>
          <w:rFonts w:ascii="Times New Roman" w:eastAsia="Calibri" w:hAnsi="Times New Roman"/>
          <w:noProof/>
          <w:sz w:val="24"/>
          <w:szCs w:val="24"/>
        </w:rPr>
        <w:t>United Nations, The Universal Declaration of Human Rights.</w:t>
      </w:r>
      <w:r w:rsidRPr="00115E60">
        <w:rPr>
          <w:rFonts w:ascii="Times New Roman" w:eastAsia="Calibri" w:hAnsi="Times New Roman"/>
          <w:noProof/>
          <w:sz w:val="24"/>
          <w:szCs w:val="24"/>
          <w:lang w:val="en-US"/>
        </w:rPr>
        <w:t xml:space="preserve"> </w:t>
      </w:r>
      <w:r w:rsidRPr="00115E60">
        <w:rPr>
          <w:rFonts w:ascii="Times New Roman" w:eastAsia="Calibri" w:hAnsi="Times New Roman"/>
          <w:noProof/>
          <w:sz w:val="24"/>
          <w:szCs w:val="24"/>
        </w:rPr>
        <w:t>T</w:t>
      </w:r>
      <w:r w:rsidRPr="00115E60">
        <w:rPr>
          <w:rFonts w:ascii="Times New Roman" w:eastAsia="Calibri" w:hAnsi="Times New Roman"/>
          <w:noProof/>
          <w:sz w:val="24"/>
          <w:szCs w:val="24"/>
          <w:lang w:val="en-US"/>
        </w:rPr>
        <w:t xml:space="preserve">erdapat di </w:t>
      </w:r>
      <w:hyperlink r:id="rId25" w:history="1">
        <w:r w:rsidRPr="00115E60">
          <w:rPr>
            <w:rFonts w:ascii="Times New Roman" w:eastAsia="Calibri" w:hAnsi="Times New Roman"/>
            <w:noProof/>
            <w:color w:val="0563C1"/>
            <w:sz w:val="24"/>
            <w:szCs w:val="24"/>
            <w:u w:val="single"/>
            <w:lang w:val="en-US"/>
          </w:rPr>
          <w:t>http://www.un.org/en/udhrbook/pdf/udhr_booklet_en_web.pdf</w:t>
        </w:r>
      </w:hyperlink>
    </w:p>
    <w:p w14:paraId="5E976D09"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Wayne Parsons, 2006 Public Policy: Pengantar Teori dan Praktik Analisis Kebijakan (Jakarta: Kencana, 2006).</w:t>
      </w:r>
    </w:p>
    <w:p w14:paraId="723EDD57"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Winarno, Budi. 2007. Kebijakan Publik: Teori &amp; Proses Yogyakarta: Media Presindo.</w:t>
      </w:r>
    </w:p>
    <w:p w14:paraId="70BE4219" w14:textId="77777777" w:rsidR="00115E60" w:rsidRPr="00115E60" w:rsidRDefault="00115E60" w:rsidP="00115E60">
      <w:pPr>
        <w:spacing w:after="0" w:line="240" w:lineRule="auto"/>
        <w:ind w:left="567" w:hanging="567"/>
        <w:jc w:val="both"/>
        <w:rPr>
          <w:rFonts w:ascii="Times New Roman" w:eastAsia="Calibri" w:hAnsi="Times New Roman"/>
          <w:sz w:val="24"/>
          <w:szCs w:val="24"/>
        </w:rPr>
      </w:pPr>
      <w:r w:rsidRPr="00115E60">
        <w:rPr>
          <w:rFonts w:ascii="Times New Roman" w:eastAsia="Calibri" w:hAnsi="Times New Roman"/>
          <w:sz w:val="24"/>
          <w:szCs w:val="24"/>
        </w:rPr>
        <w:t xml:space="preserve">Zaenal. 2017. “Inilah Perpres Pelaksanaan Pencapaian Tujuan Pembangunan </w:t>
      </w:r>
      <w:r w:rsidRPr="00115E60">
        <w:rPr>
          <w:rFonts w:ascii="Times New Roman" w:eastAsia="Calibri" w:hAnsi="Times New Roman"/>
          <w:sz w:val="24"/>
          <w:szCs w:val="24"/>
        </w:rPr>
        <w:tab/>
        <w:t>Berkelanjutan SDGs”. Terdapat di https://setkab.go.id/inilah-perpres-</w:t>
      </w:r>
      <w:r w:rsidRPr="00115E60">
        <w:rPr>
          <w:rFonts w:ascii="Times New Roman" w:eastAsia="Calibri" w:hAnsi="Times New Roman"/>
          <w:sz w:val="24"/>
          <w:szCs w:val="24"/>
        </w:rPr>
        <w:tab/>
        <w:t>pelaksanaan-pencapaian-tujuan-pembangunan-berkelanjutan-sdgs/</w:t>
      </w:r>
    </w:p>
    <w:p w14:paraId="71C34F7A" w14:textId="77777777" w:rsidR="00B31480" w:rsidRPr="0023608B" w:rsidRDefault="00B31480" w:rsidP="00B31480">
      <w:pPr>
        <w:spacing w:after="0" w:line="240" w:lineRule="auto"/>
        <w:jc w:val="both"/>
        <w:rPr>
          <w:rFonts w:ascii="Times New Roman" w:hAnsi="Times New Roman"/>
          <w:b/>
          <w:color w:val="000000"/>
          <w:sz w:val="23"/>
          <w:szCs w:val="23"/>
          <w:lang w:val="en-US"/>
        </w:rPr>
      </w:pPr>
    </w:p>
    <w:p w14:paraId="6CCCE62A" w14:textId="77777777" w:rsidR="009B1B12" w:rsidRPr="0023608B" w:rsidRDefault="009B1B12">
      <w:pPr>
        <w:spacing w:after="0" w:line="240" w:lineRule="auto"/>
        <w:jc w:val="both"/>
        <w:rPr>
          <w:rFonts w:ascii="Times New Roman" w:hAnsi="Times New Roman"/>
          <w:b/>
          <w:color w:val="000000"/>
          <w:sz w:val="23"/>
          <w:szCs w:val="23"/>
          <w:lang w:val="en-US"/>
        </w:rPr>
      </w:pPr>
    </w:p>
    <w:sectPr w:rsidR="009B1B12" w:rsidRPr="0023608B" w:rsidSect="00580ED4">
      <w:headerReference w:type="even" r:id="rId26"/>
      <w:headerReference w:type="default" r:id="rId27"/>
      <w:footerReference w:type="even" r:id="rId28"/>
      <w:footerReference w:type="default" r:id="rId29"/>
      <w:pgSz w:w="11906" w:h="16838"/>
      <w:pgMar w:top="1701" w:right="1701" w:bottom="1701" w:left="1701" w:header="720" w:footer="720" w:gutter="0"/>
      <w:pgNumType w:start="4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11F0" w14:textId="77777777" w:rsidR="00E72FBD" w:rsidRDefault="00E72FBD">
      <w:pPr>
        <w:spacing w:line="240" w:lineRule="auto"/>
      </w:pPr>
      <w:r>
        <w:separator/>
      </w:r>
    </w:p>
  </w:endnote>
  <w:endnote w:type="continuationSeparator" w:id="0">
    <w:p w14:paraId="788E7938" w14:textId="77777777" w:rsidR="00E72FBD" w:rsidRDefault="00E72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2A" w14:textId="77777777" w:rsidR="00C712C2" w:rsidRDefault="006F13A1">
    <w:pPr>
      <w:pStyle w:val="Footer"/>
      <w:ind w:right="360"/>
    </w:pPr>
    <w:r>
      <w:rPr>
        <w:noProof/>
        <w:lang w:val="en-US"/>
      </w:rPr>
      <mc:AlternateContent>
        <mc:Choice Requires="wps">
          <w:drawing>
            <wp:anchor distT="0" distB="0" distL="114300" distR="114300" simplePos="0" relativeHeight="251664384" behindDoc="0" locked="0" layoutInCell="1" allowOverlap="1" wp14:anchorId="609240D8" wp14:editId="65CE93E1">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0B918A9C" w14:textId="77777777" w:rsidR="00C712C2" w:rsidRDefault="006F13A1">
                          <w:pPr>
                            <w:jc w:val="center"/>
                          </w:pPr>
                          <w:r>
                            <w:rPr>
                              <w:sz w:val="20"/>
                            </w:rPr>
                            <w:fldChar w:fldCharType="begin"/>
                          </w:r>
                          <w:r>
                            <w:rPr>
                              <w:sz w:val="20"/>
                            </w:rPr>
                            <w:instrText xml:space="preserve"> PAGE    \* MERGEFORMAT </w:instrText>
                          </w:r>
                          <w:r>
                            <w:rPr>
                              <w:sz w:val="20"/>
                            </w:rPr>
                            <w:fldChar w:fldCharType="separate"/>
                          </w:r>
                          <w:r w:rsidR="00367DD0">
                            <w:rPr>
                              <w:noProof/>
                              <w:sz w:val="20"/>
                            </w:rPr>
                            <w:t>54</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60924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" filled="t" strokecolor="gray" strokeweight="2.25pt">
              <v:textbox inset=",0,,0">
                <w:txbxContent>
                  <w:p w14:paraId="0B918A9C" w14:textId="77777777" w:rsidR="00C712C2" w:rsidRDefault="006F13A1">
                    <w:pPr>
                      <w:jc w:val="center"/>
                    </w:pPr>
                    <w:r>
                      <w:rPr>
                        <w:sz w:val="20"/>
                      </w:rPr>
                      <w:fldChar w:fldCharType="begin"/>
                    </w:r>
                    <w:r>
                      <w:rPr>
                        <w:sz w:val="20"/>
                      </w:rPr>
                      <w:instrText xml:space="preserve"> PAGE    \* MERGEFORMAT </w:instrText>
                    </w:r>
                    <w:r>
                      <w:rPr>
                        <w:sz w:val="20"/>
                      </w:rPr>
                      <w:fldChar w:fldCharType="separate"/>
                    </w:r>
                    <w:r w:rsidR="00367DD0">
                      <w:rPr>
                        <w:noProof/>
                        <w:sz w:val="20"/>
                      </w:rPr>
                      <w:t>54</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410C10C8" wp14:editId="06EC8DAB">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294DC08F"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E4AE" w14:textId="77777777" w:rsidR="00C712C2" w:rsidRDefault="006F13A1">
    <w:pPr>
      <w:pStyle w:val="Footer"/>
    </w:pPr>
    <w:r>
      <w:rPr>
        <w:noProof/>
        <w:lang w:val="en-US"/>
      </w:rPr>
      <mc:AlternateContent>
        <mc:Choice Requires="wps">
          <w:drawing>
            <wp:anchor distT="0" distB="0" distL="114300" distR="114300" simplePos="0" relativeHeight="251660288" behindDoc="0" locked="0" layoutInCell="1" allowOverlap="1" wp14:anchorId="3C0397C3" wp14:editId="70E1E7FB">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14:paraId="51F68E56" w14:textId="77777777" w:rsidR="00C712C2" w:rsidRDefault="006F13A1">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67DD0">
                            <w:rPr>
                              <w:rFonts w:ascii="Candara" w:hAnsi="Candara"/>
                              <w:noProof/>
                              <w:sz w:val="20"/>
                              <w:szCs w:val="20"/>
                            </w:rPr>
                            <w:t>55</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3C039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" filled="t" strokecolor="gray" strokeweight="2.25pt">
              <v:textbox inset=",0,,0">
                <w:txbxContent>
                  <w:p w14:paraId="51F68E56" w14:textId="77777777" w:rsidR="00C712C2" w:rsidRDefault="006F13A1">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67DD0">
                      <w:rPr>
                        <w:rFonts w:ascii="Candara" w:hAnsi="Candara"/>
                        <w:noProof/>
                        <w:sz w:val="20"/>
                        <w:szCs w:val="20"/>
                      </w:rPr>
                      <w:t>55</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258D87B7" wp14:editId="419C30F3">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0A4EEA15"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6B7E" w14:textId="77777777" w:rsidR="00E72FBD" w:rsidRDefault="00E72FBD">
      <w:pPr>
        <w:spacing w:after="0" w:line="240" w:lineRule="auto"/>
      </w:pPr>
      <w:r>
        <w:separator/>
      </w:r>
    </w:p>
  </w:footnote>
  <w:footnote w:type="continuationSeparator" w:id="0">
    <w:p w14:paraId="48614368" w14:textId="77777777" w:rsidR="00E72FBD" w:rsidRDefault="00E72FBD">
      <w:pPr>
        <w:spacing w:after="0" w:line="240" w:lineRule="auto"/>
      </w:pPr>
      <w:r>
        <w:continuationSeparator/>
      </w:r>
    </w:p>
  </w:footnote>
  <w:footnote w:id="1">
    <w:p w14:paraId="21271EE2" w14:textId="50A387ED" w:rsidR="006F7D90" w:rsidRPr="006072EA" w:rsidRDefault="004B4ED8" w:rsidP="006F7D90">
      <w:pPr>
        <w:pStyle w:val="FootnoteText"/>
      </w:pPr>
      <w:r w:rsidRPr="006072EA">
        <w:rPr>
          <w:rStyle w:val="FootnoteReference"/>
        </w:rPr>
        <w:footnoteRef/>
      </w:r>
      <w:r w:rsidRPr="006072EA">
        <w:t xml:space="preserve"> Mahasiswa Program S1 Hubungan Internasional, Fakultas Ilmu Sosial dan Ilmu Politik, Universitas Mulawarman. E-mail: </w:t>
      </w:r>
      <w:r>
        <w:t>maulanaamalik97</w:t>
      </w:r>
      <w:r w:rsidRPr="006072EA">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8A35" w14:textId="53ACFCCB" w:rsidR="00C712C2" w:rsidRPr="00115E60" w:rsidRDefault="00115E60">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Maulana Malik Ibrahim</w:t>
    </w:r>
  </w:p>
  <w:p w14:paraId="6CF3EEBD" w14:textId="77777777" w:rsidR="00C712C2" w:rsidRDefault="006F13A1">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6366F7D0" wp14:editId="003DDCCE">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27AE99A9"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8650" w14:textId="1BA1F46D" w:rsidR="00C712C2" w:rsidRPr="00A34683" w:rsidRDefault="006F13A1" w:rsidP="00C627AE">
    <w:pPr>
      <w:pStyle w:val="Header"/>
      <w:tabs>
        <w:tab w:val="clear" w:pos="4513"/>
      </w:tabs>
      <w:jc w:val="both"/>
      <w:rPr>
        <w:rFonts w:ascii="Times New Roman" w:hAnsi="Times New Roman"/>
        <w:b/>
        <w:i/>
        <w:sz w:val="18"/>
        <w:szCs w:val="18"/>
      </w:rPr>
    </w:pPr>
    <w:r>
      <w:rPr>
        <w:rFonts w:ascii="Times New Roman" w:hAnsi="Times New Roman"/>
        <w:b/>
        <w:i/>
        <w:sz w:val="16"/>
        <w:szCs w:val="16"/>
      </w:rPr>
      <w:t>eJournal Ilmu Hubungan Internasional</w:t>
    </w:r>
    <w:r>
      <w:rPr>
        <w:rFonts w:ascii="Times New Roman" w:hAnsi="Times New Roman"/>
        <w:b/>
        <w:i/>
        <w:sz w:val="18"/>
        <w:szCs w:val="18"/>
      </w:rPr>
      <w:t xml:space="preserve">, </w:t>
    </w:r>
    <w:r w:rsidR="00A0131B">
      <w:rPr>
        <w:rFonts w:ascii="Times New Roman" w:hAnsi="Times New Roman"/>
        <w:b/>
        <w:i/>
        <w:sz w:val="18"/>
        <w:szCs w:val="18"/>
        <w:lang w:val="en-US"/>
      </w:rPr>
      <w:t xml:space="preserve">Vol. 10 No. </w:t>
    </w:r>
    <w:r w:rsidR="00052191">
      <w:rPr>
        <w:rFonts w:ascii="Times New Roman" w:hAnsi="Times New Roman"/>
        <w:b/>
        <w:i/>
        <w:sz w:val="18"/>
        <w:szCs w:val="18"/>
      </w:rPr>
      <w:t>2</w:t>
    </w:r>
    <w:r w:rsidR="00A0131B">
      <w:rPr>
        <w:rFonts w:ascii="Times New Roman" w:hAnsi="Times New Roman"/>
        <w:b/>
        <w:i/>
        <w:sz w:val="18"/>
        <w:szCs w:val="18"/>
        <w:lang w:val="en-US"/>
      </w:rPr>
      <w:t>, (2022)</w:t>
    </w:r>
    <w:r>
      <w:rPr>
        <w:rFonts w:ascii="Times New Roman" w:hAnsi="Times New Roman"/>
        <w:b/>
        <w:i/>
        <w:sz w:val="18"/>
        <w:szCs w:val="18"/>
      </w:rPr>
      <w:t xml:space="preserve">                                                   ISSN:</w:t>
    </w:r>
    <w:r w:rsidR="00A0131B">
      <w:rPr>
        <w:rFonts w:ascii="Times New Roman" w:hAnsi="Times New Roman"/>
        <w:b/>
        <w:i/>
        <w:sz w:val="18"/>
        <w:szCs w:val="18"/>
        <w:lang w:val="en-US"/>
      </w:rPr>
      <w:t xml:space="preserve"> </w:t>
    </w:r>
    <w:r w:rsidR="00580ED4">
      <w:rPr>
        <w:rFonts w:ascii="Times New Roman" w:hAnsi="Times New Roman"/>
        <w:b/>
        <w:i/>
        <w:sz w:val="18"/>
        <w:szCs w:val="18"/>
      </w:rPr>
      <w:t>2477-2623</w:t>
    </w:r>
  </w:p>
  <w:p w14:paraId="5B828187" w14:textId="77777777" w:rsidR="00C712C2" w:rsidRDefault="006F13A1">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604C7013" wp14:editId="6F746D4E">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12D2D307"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0D3"/>
    <w:multiLevelType w:val="hybridMultilevel"/>
    <w:tmpl w:val="1EE6DB6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7463EF6"/>
    <w:multiLevelType w:val="hybridMultilevel"/>
    <w:tmpl w:val="A4DE459C"/>
    <w:lvl w:ilvl="0" w:tplc="38090015">
      <w:start w:val="1"/>
      <w:numFmt w:val="upp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 w15:restartNumberingAfterBreak="0">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 w15:restartNumberingAfterBreak="0">
    <w:nsid w:val="1042B1F8"/>
    <w:multiLevelType w:val="singleLevel"/>
    <w:tmpl w:val="1042B1F8"/>
    <w:lvl w:ilvl="0">
      <w:start w:val="1"/>
      <w:numFmt w:val="lowerLetter"/>
      <w:suff w:val="space"/>
      <w:lvlText w:val="%1."/>
      <w:lvlJc w:val="left"/>
      <w:rPr>
        <w:b w:val="0"/>
      </w:rPr>
    </w:lvl>
  </w:abstractNum>
  <w:abstractNum w:abstractNumId="4" w15:restartNumberingAfterBreak="0">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6" w15:restartNumberingAfterBreak="0">
    <w:nsid w:val="22ED1B24"/>
    <w:multiLevelType w:val="hybridMultilevel"/>
    <w:tmpl w:val="6174F8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877214D"/>
    <w:multiLevelType w:val="hybridMultilevel"/>
    <w:tmpl w:val="600886E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29F6987"/>
    <w:multiLevelType w:val="hybridMultilevel"/>
    <w:tmpl w:val="72C21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398361D"/>
    <w:multiLevelType w:val="hybridMultilevel"/>
    <w:tmpl w:val="9078E432"/>
    <w:lvl w:ilvl="0" w:tplc="3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3F34803"/>
    <w:multiLevelType w:val="hybridMultilevel"/>
    <w:tmpl w:val="9078E43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1F0FF8"/>
    <w:multiLevelType w:val="hybridMultilevel"/>
    <w:tmpl w:val="84925004"/>
    <w:lvl w:ilvl="0" w:tplc="5CDCBB6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5" w15:restartNumberingAfterBreak="0">
    <w:nsid w:val="7A2B1902"/>
    <w:multiLevelType w:val="hybridMultilevel"/>
    <w:tmpl w:val="524CC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16cid:durableId="233902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034507">
    <w:abstractNumId w:val="5"/>
  </w:num>
  <w:num w:numId="3" w16cid:durableId="581110004">
    <w:abstractNumId w:val="4"/>
  </w:num>
  <w:num w:numId="4" w16cid:durableId="1302275024">
    <w:abstractNumId w:val="13"/>
  </w:num>
  <w:num w:numId="5" w16cid:durableId="2085250252">
    <w:abstractNumId w:val="3"/>
  </w:num>
  <w:num w:numId="6" w16cid:durableId="1351297844">
    <w:abstractNumId w:val="8"/>
  </w:num>
  <w:num w:numId="7" w16cid:durableId="508762267">
    <w:abstractNumId w:val="2"/>
  </w:num>
  <w:num w:numId="8" w16cid:durableId="457839892">
    <w:abstractNumId w:val="16"/>
  </w:num>
  <w:num w:numId="9" w16cid:durableId="2069064166">
    <w:abstractNumId w:val="15"/>
  </w:num>
  <w:num w:numId="10" w16cid:durableId="304549671">
    <w:abstractNumId w:val="9"/>
  </w:num>
  <w:num w:numId="11" w16cid:durableId="1910731772">
    <w:abstractNumId w:val="7"/>
  </w:num>
  <w:num w:numId="12" w16cid:durableId="1429544370">
    <w:abstractNumId w:val="0"/>
  </w:num>
  <w:num w:numId="13" w16cid:durableId="1553662588">
    <w:abstractNumId w:val="1"/>
  </w:num>
  <w:num w:numId="14" w16cid:durableId="36709039">
    <w:abstractNumId w:val="14"/>
  </w:num>
  <w:num w:numId="15" w16cid:durableId="1268850069">
    <w:abstractNumId w:val="10"/>
  </w:num>
  <w:num w:numId="16" w16cid:durableId="88430105">
    <w:abstractNumId w:val="11"/>
  </w:num>
  <w:num w:numId="17" w16cid:durableId="1337070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2191"/>
    <w:rsid w:val="00057A41"/>
    <w:rsid w:val="00060F8B"/>
    <w:rsid w:val="00062525"/>
    <w:rsid w:val="00066221"/>
    <w:rsid w:val="00066451"/>
    <w:rsid w:val="00067644"/>
    <w:rsid w:val="00067AC5"/>
    <w:rsid w:val="00071C42"/>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207F"/>
    <w:rsid w:val="00113114"/>
    <w:rsid w:val="001135E5"/>
    <w:rsid w:val="00115E60"/>
    <w:rsid w:val="00116E26"/>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665"/>
    <w:rsid w:val="00152B23"/>
    <w:rsid w:val="00156EF3"/>
    <w:rsid w:val="0016012F"/>
    <w:rsid w:val="00162B5B"/>
    <w:rsid w:val="00167429"/>
    <w:rsid w:val="00171017"/>
    <w:rsid w:val="0017194A"/>
    <w:rsid w:val="00174261"/>
    <w:rsid w:val="00175639"/>
    <w:rsid w:val="00175AC0"/>
    <w:rsid w:val="001847D3"/>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E2F49"/>
    <w:rsid w:val="001F22E7"/>
    <w:rsid w:val="001F24B3"/>
    <w:rsid w:val="001F2AE1"/>
    <w:rsid w:val="001F2F0C"/>
    <w:rsid w:val="001F3C76"/>
    <w:rsid w:val="001F4B38"/>
    <w:rsid w:val="002025CC"/>
    <w:rsid w:val="00205A9F"/>
    <w:rsid w:val="00210DED"/>
    <w:rsid w:val="00213E1C"/>
    <w:rsid w:val="00216EA6"/>
    <w:rsid w:val="00223E0D"/>
    <w:rsid w:val="00223F9F"/>
    <w:rsid w:val="00226742"/>
    <w:rsid w:val="00230F3B"/>
    <w:rsid w:val="0023257D"/>
    <w:rsid w:val="0023608B"/>
    <w:rsid w:val="00240901"/>
    <w:rsid w:val="002424A8"/>
    <w:rsid w:val="0024493F"/>
    <w:rsid w:val="00245649"/>
    <w:rsid w:val="00245651"/>
    <w:rsid w:val="00246EB8"/>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1C99"/>
    <w:rsid w:val="002F20CF"/>
    <w:rsid w:val="002F4A2A"/>
    <w:rsid w:val="002F4E65"/>
    <w:rsid w:val="002F5E04"/>
    <w:rsid w:val="003003BB"/>
    <w:rsid w:val="003024E3"/>
    <w:rsid w:val="00302705"/>
    <w:rsid w:val="003057FF"/>
    <w:rsid w:val="00306272"/>
    <w:rsid w:val="00307AA6"/>
    <w:rsid w:val="00314736"/>
    <w:rsid w:val="00317081"/>
    <w:rsid w:val="00320A81"/>
    <w:rsid w:val="00325832"/>
    <w:rsid w:val="00332899"/>
    <w:rsid w:val="0033388F"/>
    <w:rsid w:val="0033404E"/>
    <w:rsid w:val="00337899"/>
    <w:rsid w:val="00340DBF"/>
    <w:rsid w:val="00342F60"/>
    <w:rsid w:val="003448DD"/>
    <w:rsid w:val="00347A62"/>
    <w:rsid w:val="00347CA8"/>
    <w:rsid w:val="0035034C"/>
    <w:rsid w:val="00351154"/>
    <w:rsid w:val="00352C90"/>
    <w:rsid w:val="003575DB"/>
    <w:rsid w:val="003654B8"/>
    <w:rsid w:val="00366551"/>
    <w:rsid w:val="00367A44"/>
    <w:rsid w:val="00367DD0"/>
    <w:rsid w:val="003718D4"/>
    <w:rsid w:val="00373D18"/>
    <w:rsid w:val="00376BC4"/>
    <w:rsid w:val="00377133"/>
    <w:rsid w:val="00377C3D"/>
    <w:rsid w:val="00380988"/>
    <w:rsid w:val="00381059"/>
    <w:rsid w:val="00381915"/>
    <w:rsid w:val="00381983"/>
    <w:rsid w:val="00383078"/>
    <w:rsid w:val="00385906"/>
    <w:rsid w:val="00387902"/>
    <w:rsid w:val="00390C1D"/>
    <w:rsid w:val="00395021"/>
    <w:rsid w:val="003963A9"/>
    <w:rsid w:val="003978EF"/>
    <w:rsid w:val="003A06EB"/>
    <w:rsid w:val="003A098A"/>
    <w:rsid w:val="003A1872"/>
    <w:rsid w:val="003A3500"/>
    <w:rsid w:val="003A6BA0"/>
    <w:rsid w:val="003B24E8"/>
    <w:rsid w:val="003B6EDA"/>
    <w:rsid w:val="003C071A"/>
    <w:rsid w:val="003C07EE"/>
    <w:rsid w:val="003C0D94"/>
    <w:rsid w:val="003C39BD"/>
    <w:rsid w:val="003C3C5C"/>
    <w:rsid w:val="003C402F"/>
    <w:rsid w:val="003C4C7B"/>
    <w:rsid w:val="003C67CB"/>
    <w:rsid w:val="003C72FE"/>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5FF2"/>
    <w:rsid w:val="00410A7A"/>
    <w:rsid w:val="004146FE"/>
    <w:rsid w:val="00415066"/>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ED8"/>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27E71"/>
    <w:rsid w:val="00533422"/>
    <w:rsid w:val="00533805"/>
    <w:rsid w:val="00534E30"/>
    <w:rsid w:val="00535FE0"/>
    <w:rsid w:val="00537B63"/>
    <w:rsid w:val="00541E23"/>
    <w:rsid w:val="00543928"/>
    <w:rsid w:val="00543D11"/>
    <w:rsid w:val="00544716"/>
    <w:rsid w:val="0054483C"/>
    <w:rsid w:val="00544BCE"/>
    <w:rsid w:val="00547F14"/>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0ED4"/>
    <w:rsid w:val="005813B8"/>
    <w:rsid w:val="00581D70"/>
    <w:rsid w:val="00582199"/>
    <w:rsid w:val="0058275B"/>
    <w:rsid w:val="00582FE6"/>
    <w:rsid w:val="00583EDD"/>
    <w:rsid w:val="00587E18"/>
    <w:rsid w:val="00590594"/>
    <w:rsid w:val="0059206A"/>
    <w:rsid w:val="00596A2E"/>
    <w:rsid w:val="00597B5B"/>
    <w:rsid w:val="005A0347"/>
    <w:rsid w:val="005A03B4"/>
    <w:rsid w:val="005A0D3A"/>
    <w:rsid w:val="005A279A"/>
    <w:rsid w:val="005A279F"/>
    <w:rsid w:val="005A2A38"/>
    <w:rsid w:val="005A32ED"/>
    <w:rsid w:val="005A36B0"/>
    <w:rsid w:val="005A6EB0"/>
    <w:rsid w:val="005B0C1D"/>
    <w:rsid w:val="005B1B01"/>
    <w:rsid w:val="005B60CE"/>
    <w:rsid w:val="005C4362"/>
    <w:rsid w:val="005C747B"/>
    <w:rsid w:val="005C7C36"/>
    <w:rsid w:val="005D2D40"/>
    <w:rsid w:val="005D397D"/>
    <w:rsid w:val="005D3DC9"/>
    <w:rsid w:val="005D4E42"/>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106B"/>
    <w:rsid w:val="00633630"/>
    <w:rsid w:val="00634127"/>
    <w:rsid w:val="00640220"/>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1F24"/>
    <w:rsid w:val="006E43E1"/>
    <w:rsid w:val="006E4B6A"/>
    <w:rsid w:val="006E65C4"/>
    <w:rsid w:val="006E6E9E"/>
    <w:rsid w:val="006F040F"/>
    <w:rsid w:val="006F13A1"/>
    <w:rsid w:val="006F1943"/>
    <w:rsid w:val="006F1EA8"/>
    <w:rsid w:val="006F3076"/>
    <w:rsid w:val="006F450D"/>
    <w:rsid w:val="006F50F9"/>
    <w:rsid w:val="006F543A"/>
    <w:rsid w:val="006F57AE"/>
    <w:rsid w:val="006F6882"/>
    <w:rsid w:val="006F7D90"/>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60E8D"/>
    <w:rsid w:val="00762292"/>
    <w:rsid w:val="007642D6"/>
    <w:rsid w:val="00764A1A"/>
    <w:rsid w:val="00764ADD"/>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656F"/>
    <w:rsid w:val="007C1524"/>
    <w:rsid w:val="007C1FD4"/>
    <w:rsid w:val="007C654C"/>
    <w:rsid w:val="007C7250"/>
    <w:rsid w:val="007D1039"/>
    <w:rsid w:val="007D11EF"/>
    <w:rsid w:val="007E0B60"/>
    <w:rsid w:val="007E1462"/>
    <w:rsid w:val="007E61DD"/>
    <w:rsid w:val="007F1102"/>
    <w:rsid w:val="007F4178"/>
    <w:rsid w:val="007F5A07"/>
    <w:rsid w:val="007F5ADF"/>
    <w:rsid w:val="007F63D2"/>
    <w:rsid w:val="007F6445"/>
    <w:rsid w:val="00801C26"/>
    <w:rsid w:val="00801FEC"/>
    <w:rsid w:val="00810C1E"/>
    <w:rsid w:val="00812850"/>
    <w:rsid w:val="00814013"/>
    <w:rsid w:val="00817494"/>
    <w:rsid w:val="00822378"/>
    <w:rsid w:val="0083019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F7948"/>
    <w:rsid w:val="00900E8B"/>
    <w:rsid w:val="0090626F"/>
    <w:rsid w:val="009070C6"/>
    <w:rsid w:val="00911B90"/>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3E37"/>
    <w:rsid w:val="00984F51"/>
    <w:rsid w:val="009851C5"/>
    <w:rsid w:val="00986655"/>
    <w:rsid w:val="00986932"/>
    <w:rsid w:val="009900BC"/>
    <w:rsid w:val="00991C85"/>
    <w:rsid w:val="009936CB"/>
    <w:rsid w:val="0099420F"/>
    <w:rsid w:val="00997E9D"/>
    <w:rsid w:val="009A1BCA"/>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697D"/>
    <w:rsid w:val="009F7CFC"/>
    <w:rsid w:val="00A012E2"/>
    <w:rsid w:val="00A0131B"/>
    <w:rsid w:val="00A01BBC"/>
    <w:rsid w:val="00A03AFE"/>
    <w:rsid w:val="00A0410D"/>
    <w:rsid w:val="00A04FC4"/>
    <w:rsid w:val="00A050C8"/>
    <w:rsid w:val="00A06DA0"/>
    <w:rsid w:val="00A06E92"/>
    <w:rsid w:val="00A108D9"/>
    <w:rsid w:val="00A12E36"/>
    <w:rsid w:val="00A1437E"/>
    <w:rsid w:val="00A228A4"/>
    <w:rsid w:val="00A22A6C"/>
    <w:rsid w:val="00A22EB1"/>
    <w:rsid w:val="00A240C1"/>
    <w:rsid w:val="00A30FDF"/>
    <w:rsid w:val="00A320A2"/>
    <w:rsid w:val="00A32120"/>
    <w:rsid w:val="00A338B7"/>
    <w:rsid w:val="00A34683"/>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3B72"/>
    <w:rsid w:val="00AE4F84"/>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6ABF"/>
    <w:rsid w:val="00B9725C"/>
    <w:rsid w:val="00BA42FE"/>
    <w:rsid w:val="00BA72DB"/>
    <w:rsid w:val="00BB106C"/>
    <w:rsid w:val="00BB28DB"/>
    <w:rsid w:val="00BC30C1"/>
    <w:rsid w:val="00BC33C0"/>
    <w:rsid w:val="00BC44FE"/>
    <w:rsid w:val="00BD3E2B"/>
    <w:rsid w:val="00BD4284"/>
    <w:rsid w:val="00BD4EBC"/>
    <w:rsid w:val="00BD7C65"/>
    <w:rsid w:val="00BE0DC5"/>
    <w:rsid w:val="00BE1BFD"/>
    <w:rsid w:val="00BE6590"/>
    <w:rsid w:val="00BF02F8"/>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37C7"/>
    <w:rsid w:val="00C26C4E"/>
    <w:rsid w:val="00C27272"/>
    <w:rsid w:val="00C32B18"/>
    <w:rsid w:val="00C35851"/>
    <w:rsid w:val="00C36767"/>
    <w:rsid w:val="00C41152"/>
    <w:rsid w:val="00C41BBE"/>
    <w:rsid w:val="00C42694"/>
    <w:rsid w:val="00C43426"/>
    <w:rsid w:val="00C44898"/>
    <w:rsid w:val="00C45525"/>
    <w:rsid w:val="00C4693F"/>
    <w:rsid w:val="00C47CC4"/>
    <w:rsid w:val="00C51E0F"/>
    <w:rsid w:val="00C52165"/>
    <w:rsid w:val="00C569BD"/>
    <w:rsid w:val="00C60948"/>
    <w:rsid w:val="00C627AE"/>
    <w:rsid w:val="00C6393F"/>
    <w:rsid w:val="00C654EF"/>
    <w:rsid w:val="00C65609"/>
    <w:rsid w:val="00C65AEA"/>
    <w:rsid w:val="00C677EB"/>
    <w:rsid w:val="00C712C2"/>
    <w:rsid w:val="00C74B5C"/>
    <w:rsid w:val="00C77820"/>
    <w:rsid w:val="00C83184"/>
    <w:rsid w:val="00C83810"/>
    <w:rsid w:val="00C90BF0"/>
    <w:rsid w:val="00C915CC"/>
    <w:rsid w:val="00C95F8E"/>
    <w:rsid w:val="00C97D85"/>
    <w:rsid w:val="00CA00BF"/>
    <w:rsid w:val="00CA26F6"/>
    <w:rsid w:val="00CA602D"/>
    <w:rsid w:val="00CB190D"/>
    <w:rsid w:val="00CB3CAC"/>
    <w:rsid w:val="00CB4020"/>
    <w:rsid w:val="00CB49BF"/>
    <w:rsid w:val="00CB5784"/>
    <w:rsid w:val="00CB752C"/>
    <w:rsid w:val="00CB7DB9"/>
    <w:rsid w:val="00CC1141"/>
    <w:rsid w:val="00CC356F"/>
    <w:rsid w:val="00CC7944"/>
    <w:rsid w:val="00CD198D"/>
    <w:rsid w:val="00CD2BE0"/>
    <w:rsid w:val="00CD2E85"/>
    <w:rsid w:val="00CD739B"/>
    <w:rsid w:val="00CE1990"/>
    <w:rsid w:val="00CE1F94"/>
    <w:rsid w:val="00CE2A01"/>
    <w:rsid w:val="00CE3A2B"/>
    <w:rsid w:val="00CE5C61"/>
    <w:rsid w:val="00CE681B"/>
    <w:rsid w:val="00CF34D6"/>
    <w:rsid w:val="00CF7F66"/>
    <w:rsid w:val="00D0040F"/>
    <w:rsid w:val="00D07105"/>
    <w:rsid w:val="00D108C6"/>
    <w:rsid w:val="00D11DE4"/>
    <w:rsid w:val="00D139C4"/>
    <w:rsid w:val="00D15F1C"/>
    <w:rsid w:val="00D16057"/>
    <w:rsid w:val="00D203A7"/>
    <w:rsid w:val="00D20F21"/>
    <w:rsid w:val="00D2495F"/>
    <w:rsid w:val="00D273F7"/>
    <w:rsid w:val="00D3078A"/>
    <w:rsid w:val="00D34052"/>
    <w:rsid w:val="00D41E89"/>
    <w:rsid w:val="00D4609B"/>
    <w:rsid w:val="00D54112"/>
    <w:rsid w:val="00D54F28"/>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2FBD"/>
    <w:rsid w:val="00E734D2"/>
    <w:rsid w:val="00E74490"/>
    <w:rsid w:val="00E7453A"/>
    <w:rsid w:val="00E75C22"/>
    <w:rsid w:val="00E80488"/>
    <w:rsid w:val="00E87399"/>
    <w:rsid w:val="00E87D60"/>
    <w:rsid w:val="00E9065F"/>
    <w:rsid w:val="00E91232"/>
    <w:rsid w:val="00E92B80"/>
    <w:rsid w:val="00E9559E"/>
    <w:rsid w:val="00E9792B"/>
    <w:rsid w:val="00EA0548"/>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2B68"/>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7D29"/>
    <w:rsid w:val="00F9102A"/>
    <w:rsid w:val="00F91218"/>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9F1"/>
    <w:rsid w:val="00FF4CA7"/>
    <w:rsid w:val="00FF4CB6"/>
    <w:rsid w:val="00FF660F"/>
    <w:rsid w:val="26F674D3"/>
    <w:rsid w:val="4004799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AC56"/>
  <w15:docId w15:val="{B0D00E80-DFCC-4128-91FB-8F1E0F8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table" w:styleId="PlainTable1">
    <w:name w:val="Plain Table 1"/>
    <w:basedOn w:val="TableNormal"/>
    <w:uiPriority w:val="41"/>
    <w:rsid w:val="006F7D90"/>
    <w:rPr>
      <w:rFonts w:asciiTheme="minorHAnsi" w:eastAsiaTheme="minorHAnsi" w:hAnsiTheme="minorHAnsi" w:cstheme="minorBidi"/>
      <w:sz w:val="22"/>
      <w:szCs w:val="22"/>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4B4E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B4ED8"/>
    <w:rPr>
      <w:rFonts w:ascii="Calibri" w:eastAsia="Calibri" w:hAnsi="Calibri"/>
      <w:sz w:val="22"/>
      <w:szCs w:val="22"/>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B4ED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4B4E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99"/>
    <w:rsid w:val="004B4ED8"/>
    <w:rPr>
      <w:rFonts w:ascii="Calibri" w:eastAsia="Calibri" w:hAnsi="Calibri"/>
      <w:sz w:val="22"/>
      <w:szCs w:val="22"/>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i.kemdikbud.go.id/5263/1/riXIT33kky7AMpjt8Qcz96oWg1ef5ixukA8vozns.pdf" TargetMode="External"/><Relationship Id="rId18" Type="http://schemas.openxmlformats.org/officeDocument/2006/relationships/hyperlink" Target="http://repositori.kemdikbud.go.id/17821/1/Sarana%20Prasarana%20%2820191216%29%20-%20Pedoman%20Pelaksanaan%20Banper%20USB%20SMA%20Tahun%202019.pd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jendela.kemdikbud.go.id/v2/fokus/detail/potret-capaian-program-revitalisasi-smk-saat-ini" TargetMode="External"/><Relationship Id="rId7" Type="http://schemas.openxmlformats.org/officeDocument/2006/relationships/footnotes" Target="footnotes.xml"/><Relationship Id="rId12" Type="http://schemas.openxmlformats.org/officeDocument/2006/relationships/hyperlink" Target="http://hdr.undp.org/sites/default/files/hdr2019.pdf" TargetMode="External"/><Relationship Id="rId17" Type="http://schemas.openxmlformats.org/officeDocument/2006/relationships/hyperlink" Target="https://sma.kemdikbud.go.id/data/files/Sarana%20Prasarana%20-%20PEDOMAN%20REHABILITASI%20BANGUNAN%20APBNP%202019.pdf" TargetMode="External"/><Relationship Id="rId25" Type="http://schemas.openxmlformats.org/officeDocument/2006/relationships/hyperlink" Target="http://www.un.org/en/udhrbook/pdf/udhr_booklet_en_web.pdf" TargetMode="External"/><Relationship Id="rId2" Type="http://schemas.openxmlformats.org/officeDocument/2006/relationships/customXml" Target="../customXml/item2.xml"/><Relationship Id="rId16" Type="http://schemas.openxmlformats.org/officeDocument/2006/relationships/hyperlink" Target="https://puslitjakdikbud.kemdikbud.go.id/assets_front/images/produk/1-gtk/buku/15__Yaya_Jakaria_Kajian_Sarpras_A5_Boni_Gen_imelda_final.pdf" TargetMode="External"/><Relationship Id="rId20" Type="http://schemas.openxmlformats.org/officeDocument/2006/relationships/hyperlink" Target="https://ppg.fkip.unej.ac.id/wp-content/uploads/sites/30/2017/10/pedoman-ppg-reguler-v1.0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332100069_The_politics_of_quality_reformsand_the_challenges_for_SDGs_in_education" TargetMode="External"/><Relationship Id="rId24" Type="http://schemas.openxmlformats.org/officeDocument/2006/relationships/hyperlink" Target="https://en.unesco.org/gem-report/" TargetMode="External"/><Relationship Id="rId5" Type="http://schemas.openxmlformats.org/officeDocument/2006/relationships/settings" Target="settings.xml"/><Relationship Id="rId15" Type="http://schemas.openxmlformats.org/officeDocument/2006/relationships/hyperlink" Target="https://kemdikbud.go.id/main/files/download/9899b657b50db1a" TargetMode="External"/><Relationship Id="rId23" Type="http://schemas.openxmlformats.org/officeDocument/2006/relationships/hyperlink" Target="http://repositori.kemdikbud.go.id/5263/1/riXIT33kky7AMpjt8Qcz96oWg1ef5ixukA8vozns" TargetMode="External"/><Relationship Id="rId28" Type="http://schemas.openxmlformats.org/officeDocument/2006/relationships/footer" Target="footer1.xml"/><Relationship Id="rId10" Type="http://schemas.openxmlformats.org/officeDocument/2006/relationships/hyperlink" Target="https://sdgs.bappenas.go.id/sekilas-sdgs/" TargetMode="External"/><Relationship Id="rId19" Type="http://schemas.openxmlformats.org/officeDocument/2006/relationships/hyperlink" Target="http://pustaka.unpad.ac.id/wp-content/uploads/2009/06/jurnal_lmfe_pemb_berkelanjutan-ekonomiekologi-sust_comm-sust_rep_fani.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positori.kemdikbud.go.id/15823/1/Kajian%20program%20Ind%20Pintar.pdf" TargetMode="External"/><Relationship Id="rId22" Type="http://schemas.openxmlformats.org/officeDocument/2006/relationships/hyperlink" Target="https://statistik.data.kemdikbud.go.id"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C961D-82A4-4624-9BA2-49432616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maulana malik</cp:lastModifiedBy>
  <cp:revision>2</cp:revision>
  <cp:lastPrinted>2022-08-06T05:01:00Z</cp:lastPrinted>
  <dcterms:created xsi:type="dcterms:W3CDTF">2022-08-06T05:02:00Z</dcterms:created>
  <dcterms:modified xsi:type="dcterms:W3CDTF">2022-08-06T05:02:00Z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